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2B" w:rsidRPr="002F1853" w:rsidRDefault="0070502B" w:rsidP="008A757A">
      <w:pPr>
        <w:pStyle w:val="Title"/>
        <w:jc w:val="center"/>
        <w:rPr>
          <w:sz w:val="44"/>
          <w:szCs w:val="44"/>
        </w:rPr>
      </w:pPr>
      <w:r w:rsidRPr="002F1853">
        <w:rPr>
          <w:sz w:val="44"/>
          <w:szCs w:val="44"/>
        </w:rPr>
        <w:t xml:space="preserve">Middle Tennessee </w:t>
      </w:r>
      <w:r w:rsidR="00A07B8D" w:rsidRPr="002F1853">
        <w:rPr>
          <w:sz w:val="44"/>
          <w:szCs w:val="44"/>
        </w:rPr>
        <w:t xml:space="preserve">Consumer </w:t>
      </w:r>
      <w:r w:rsidR="002432C1" w:rsidRPr="002F1853">
        <w:rPr>
          <w:sz w:val="44"/>
          <w:szCs w:val="44"/>
        </w:rPr>
        <w:t>O</w:t>
      </w:r>
      <w:r w:rsidR="00A07B8D" w:rsidRPr="002F1853">
        <w:rPr>
          <w:sz w:val="44"/>
          <w:szCs w:val="44"/>
        </w:rPr>
        <w:t xml:space="preserve">utlook </w:t>
      </w:r>
      <w:r w:rsidR="00140EF4" w:rsidRPr="002F1853">
        <w:rPr>
          <w:sz w:val="44"/>
          <w:szCs w:val="44"/>
        </w:rPr>
        <w:t>I</w:t>
      </w:r>
      <w:r w:rsidR="00A07B8D" w:rsidRPr="002F1853">
        <w:rPr>
          <w:sz w:val="44"/>
          <w:szCs w:val="44"/>
        </w:rPr>
        <w:t>ndex</w:t>
      </w:r>
    </w:p>
    <w:p w:rsidR="0070502B" w:rsidRPr="008A757A" w:rsidRDefault="00985C05" w:rsidP="000D09DE">
      <w:pPr>
        <w:tabs>
          <w:tab w:val="left" w:pos="0"/>
        </w:tabs>
        <w:jc w:val="center"/>
        <w:rPr>
          <w:rFonts w:asciiTheme="minorHAnsi" w:hAnsiTheme="minorHAnsi"/>
          <w:bCs/>
          <w:color w:val="002060"/>
          <w:sz w:val="36"/>
        </w:rPr>
      </w:pPr>
      <w:r>
        <w:rPr>
          <w:rFonts w:asciiTheme="minorHAnsi" w:hAnsiTheme="minorHAnsi"/>
          <w:bCs/>
          <w:color w:val="002060"/>
          <w:sz w:val="28"/>
        </w:rPr>
        <w:t xml:space="preserve">September </w:t>
      </w:r>
      <w:r w:rsidR="007221A8">
        <w:rPr>
          <w:rFonts w:asciiTheme="minorHAnsi" w:hAnsiTheme="minorHAnsi"/>
          <w:bCs/>
          <w:color w:val="002060"/>
          <w:sz w:val="28"/>
        </w:rPr>
        <w:t>13</w:t>
      </w:r>
      <w:r w:rsidR="0082033A">
        <w:rPr>
          <w:rFonts w:asciiTheme="minorHAnsi" w:hAnsiTheme="minorHAnsi"/>
          <w:bCs/>
          <w:color w:val="002060"/>
          <w:sz w:val="28"/>
        </w:rPr>
        <w:t xml:space="preserve">, </w:t>
      </w:r>
      <w:r w:rsidR="00106BB1" w:rsidRPr="008A757A">
        <w:rPr>
          <w:rFonts w:asciiTheme="minorHAnsi" w:hAnsiTheme="minorHAnsi"/>
          <w:bCs/>
          <w:color w:val="002060"/>
          <w:sz w:val="28"/>
        </w:rPr>
        <w:t>20</w:t>
      </w:r>
      <w:r w:rsidR="00FC5846" w:rsidRPr="008A757A">
        <w:rPr>
          <w:rFonts w:asciiTheme="minorHAnsi" w:hAnsiTheme="minorHAnsi"/>
          <w:bCs/>
          <w:color w:val="002060"/>
          <w:sz w:val="28"/>
        </w:rPr>
        <w:t>1</w:t>
      </w:r>
      <w:r w:rsidR="004C6631">
        <w:rPr>
          <w:rFonts w:asciiTheme="minorHAnsi" w:hAnsiTheme="minorHAnsi"/>
          <w:bCs/>
          <w:color w:val="002060"/>
          <w:sz w:val="28"/>
        </w:rPr>
        <w:t>3</w:t>
      </w:r>
    </w:p>
    <w:p w:rsidR="0070502B" w:rsidRPr="008A757A" w:rsidRDefault="0070502B">
      <w:pPr>
        <w:rPr>
          <w:rFonts w:asciiTheme="minorHAnsi" w:hAnsiTheme="minorHAnsi"/>
          <w:color w:val="002060"/>
        </w:rPr>
      </w:pPr>
    </w:p>
    <w:p w:rsidR="0070502B" w:rsidRDefault="0070502B">
      <w:pPr>
        <w:jc w:val="center"/>
        <w:rPr>
          <w:rFonts w:asciiTheme="minorHAnsi" w:hAnsiTheme="minorHAnsi"/>
          <w:b/>
          <w:bCs/>
          <w:color w:val="002060"/>
          <w:sz w:val="28"/>
        </w:rPr>
      </w:pPr>
      <w:r w:rsidRPr="008A757A">
        <w:rPr>
          <w:rFonts w:asciiTheme="minorHAnsi" w:hAnsiTheme="minorHAnsi"/>
          <w:b/>
          <w:bCs/>
          <w:color w:val="002060"/>
          <w:sz w:val="28"/>
        </w:rPr>
        <w:t>The Office of Consumer Research</w:t>
      </w:r>
    </w:p>
    <w:p w:rsidR="00976A05" w:rsidRPr="008A757A" w:rsidRDefault="00976A05">
      <w:pPr>
        <w:jc w:val="center"/>
        <w:rPr>
          <w:rFonts w:asciiTheme="minorHAnsi" w:hAnsiTheme="minorHAnsi"/>
          <w:b/>
          <w:bCs/>
          <w:color w:val="002060"/>
          <w:sz w:val="28"/>
        </w:rPr>
      </w:pPr>
      <w:r>
        <w:rPr>
          <w:rFonts w:asciiTheme="minorHAnsi" w:hAnsiTheme="minorHAnsi"/>
          <w:b/>
          <w:bCs/>
          <w:color w:val="002060"/>
          <w:sz w:val="28"/>
        </w:rPr>
        <w:t>Jones College of Business</w:t>
      </w:r>
    </w:p>
    <w:p w:rsidR="0070502B" w:rsidRPr="008A757A" w:rsidRDefault="0070502B">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at</w:t>
      </w:r>
      <w:proofErr w:type="gramEnd"/>
      <w:r w:rsidRPr="008A757A">
        <w:rPr>
          <w:rFonts w:asciiTheme="minorHAnsi" w:hAnsiTheme="minorHAnsi"/>
          <w:bCs/>
          <w:color w:val="002060"/>
          <w:sz w:val="22"/>
          <w:szCs w:val="22"/>
        </w:rPr>
        <w:t xml:space="preserve"> Middle Tennessee State University</w:t>
      </w:r>
    </w:p>
    <w:p w:rsidR="0070502B" w:rsidRPr="008A757A" w:rsidRDefault="0070502B" w:rsidP="008A757A">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Director -- Timothy R. Graeff, Ph.D.</w:t>
      </w:r>
      <w:proofErr w:type="gramEnd"/>
    </w:p>
    <w:p w:rsidR="00135989" w:rsidRPr="008A757A" w:rsidRDefault="00122342" w:rsidP="008A757A">
      <w:pPr>
        <w:jc w:val="center"/>
        <w:rPr>
          <w:rFonts w:asciiTheme="minorHAnsi" w:hAnsiTheme="minorHAnsi"/>
          <w:bCs/>
          <w:i/>
          <w:color w:val="002060"/>
          <w:sz w:val="22"/>
          <w:szCs w:val="22"/>
        </w:rPr>
      </w:pPr>
      <w:hyperlink r:id="rId10" w:history="1">
        <w:r w:rsidR="00FB298B" w:rsidRPr="008A757A">
          <w:rPr>
            <w:rStyle w:val="Hyperlink"/>
            <w:rFonts w:asciiTheme="minorHAnsi" w:hAnsiTheme="minorHAnsi"/>
            <w:bCs/>
            <w:color w:val="002060"/>
            <w:sz w:val="22"/>
            <w:szCs w:val="22"/>
          </w:rPr>
          <w:t>Tim.Graeff@mtsu.edu</w:t>
        </w:r>
      </w:hyperlink>
      <w:proofErr w:type="gramStart"/>
      <w:r w:rsidR="001A1A56" w:rsidRPr="008A757A">
        <w:rPr>
          <w:rStyle w:val="Hyperlink"/>
          <w:rFonts w:asciiTheme="minorHAnsi" w:hAnsiTheme="minorHAnsi"/>
          <w:bCs/>
          <w:color w:val="002060"/>
          <w:sz w:val="22"/>
          <w:szCs w:val="22"/>
        </w:rPr>
        <w:t xml:space="preserve">,  </w:t>
      </w:r>
      <w:r w:rsidR="00FB298B" w:rsidRPr="008A757A">
        <w:rPr>
          <w:rFonts w:asciiTheme="minorHAnsi" w:hAnsiTheme="minorHAnsi"/>
          <w:bCs/>
          <w:color w:val="002060"/>
          <w:sz w:val="22"/>
          <w:szCs w:val="22"/>
        </w:rPr>
        <w:t>615</w:t>
      </w:r>
      <w:proofErr w:type="gramEnd"/>
      <w:r w:rsidR="00FB298B" w:rsidRPr="008A757A">
        <w:rPr>
          <w:rFonts w:asciiTheme="minorHAnsi" w:hAnsiTheme="minorHAnsi"/>
          <w:bCs/>
          <w:color w:val="002060"/>
          <w:sz w:val="22"/>
          <w:szCs w:val="22"/>
        </w:rPr>
        <w:t>-898-5124</w:t>
      </w:r>
    </w:p>
    <w:p w:rsidR="00303944" w:rsidRPr="008A757A" w:rsidRDefault="00303944">
      <w:pPr>
        <w:jc w:val="center"/>
        <w:rPr>
          <w:rFonts w:asciiTheme="minorHAnsi" w:hAnsiTheme="minorHAnsi"/>
          <w:b/>
          <w:bCs/>
          <w:color w:val="002060"/>
        </w:rPr>
      </w:pPr>
    </w:p>
    <w:p w:rsidR="009F27C3" w:rsidRDefault="009F27C3" w:rsidP="007A4C2B">
      <w:pPr>
        <w:jc w:val="center"/>
        <w:rPr>
          <w:rFonts w:asciiTheme="minorHAnsi" w:hAnsiTheme="minorHAnsi"/>
          <w:b/>
          <w:bCs/>
          <w:color w:val="002060"/>
          <w:sz w:val="32"/>
          <w:szCs w:val="32"/>
        </w:rPr>
      </w:pPr>
    </w:p>
    <w:p w:rsidR="00BD7307" w:rsidRPr="00A16353" w:rsidRDefault="008F3A00" w:rsidP="007A4C2B">
      <w:pPr>
        <w:jc w:val="center"/>
        <w:rPr>
          <w:rFonts w:asciiTheme="minorHAnsi" w:hAnsiTheme="minorHAnsi"/>
          <w:bCs/>
        </w:rPr>
      </w:pPr>
      <w:r w:rsidRPr="002F1853">
        <w:rPr>
          <w:rFonts w:asciiTheme="minorHAnsi" w:hAnsiTheme="minorHAnsi"/>
          <w:b/>
          <w:bCs/>
          <w:color w:val="002060"/>
          <w:sz w:val="40"/>
          <w:szCs w:val="40"/>
        </w:rPr>
        <w:t>Consumer</w:t>
      </w:r>
      <w:r w:rsidR="007A4C2B" w:rsidRPr="002F1853">
        <w:rPr>
          <w:rFonts w:asciiTheme="minorHAnsi" w:hAnsiTheme="minorHAnsi"/>
          <w:b/>
          <w:bCs/>
          <w:color w:val="002060"/>
          <w:sz w:val="40"/>
          <w:szCs w:val="40"/>
        </w:rPr>
        <w:t>s</w:t>
      </w:r>
      <w:r w:rsidR="002F1853">
        <w:rPr>
          <w:rFonts w:asciiTheme="minorHAnsi" w:hAnsiTheme="minorHAnsi"/>
          <w:b/>
          <w:bCs/>
          <w:color w:val="002060"/>
          <w:sz w:val="40"/>
          <w:szCs w:val="40"/>
        </w:rPr>
        <w:t>’</w:t>
      </w:r>
      <w:r w:rsidR="00BD42F4" w:rsidRPr="002F1853">
        <w:rPr>
          <w:rFonts w:asciiTheme="minorHAnsi" w:hAnsiTheme="minorHAnsi"/>
          <w:b/>
          <w:bCs/>
          <w:color w:val="002060"/>
          <w:sz w:val="40"/>
          <w:szCs w:val="40"/>
        </w:rPr>
        <w:t xml:space="preserve"> Outlook </w:t>
      </w:r>
      <w:r w:rsidR="00C25C98">
        <w:rPr>
          <w:rFonts w:asciiTheme="minorHAnsi" w:hAnsiTheme="minorHAnsi"/>
          <w:b/>
          <w:bCs/>
          <w:color w:val="002060"/>
          <w:sz w:val="40"/>
          <w:szCs w:val="40"/>
        </w:rPr>
        <w:t>Continues to Improve</w:t>
      </w:r>
      <w:r w:rsidR="00ED7049" w:rsidRPr="00A16353">
        <w:rPr>
          <w:rFonts w:asciiTheme="minorHAnsi" w:hAnsiTheme="minorHAnsi"/>
          <w:bCs/>
        </w:rPr>
        <w:t xml:space="preserve">    </w:t>
      </w:r>
    </w:p>
    <w:p w:rsidR="009F27C3" w:rsidRDefault="009F27C3" w:rsidP="009821BD">
      <w:pPr>
        <w:pStyle w:val="BodyText"/>
        <w:jc w:val="both"/>
        <w:rPr>
          <w:rFonts w:asciiTheme="minorHAnsi" w:hAnsiTheme="minorHAnsi"/>
          <w:bCs/>
        </w:rPr>
      </w:pPr>
    </w:p>
    <w:p w:rsidR="007221A8" w:rsidRDefault="00A0104E" w:rsidP="009821BD">
      <w:pPr>
        <w:pStyle w:val="BodyText"/>
        <w:jc w:val="both"/>
        <w:rPr>
          <w:rFonts w:asciiTheme="minorHAnsi" w:hAnsiTheme="minorHAnsi"/>
          <w:bCs/>
        </w:rPr>
      </w:pPr>
      <w:r>
        <w:rPr>
          <w:rFonts w:asciiTheme="minorHAnsi" w:hAnsiTheme="minorHAnsi"/>
          <w:bCs/>
        </w:rPr>
        <w:t xml:space="preserve">     </w:t>
      </w:r>
      <w:r w:rsidR="00C25C98">
        <w:rPr>
          <w:rFonts w:asciiTheme="minorHAnsi" w:hAnsiTheme="minorHAnsi"/>
          <w:bCs/>
        </w:rPr>
        <w:t>Consumer</w:t>
      </w:r>
      <w:r w:rsidR="001A63D0">
        <w:rPr>
          <w:rFonts w:asciiTheme="minorHAnsi" w:hAnsiTheme="minorHAnsi"/>
          <w:bCs/>
        </w:rPr>
        <w:t xml:space="preserve">s’ positive </w:t>
      </w:r>
      <w:r w:rsidR="002C2BB7">
        <w:rPr>
          <w:rFonts w:asciiTheme="minorHAnsi" w:hAnsiTheme="minorHAnsi"/>
          <w:bCs/>
        </w:rPr>
        <w:t xml:space="preserve">outlook on the </w:t>
      </w:r>
      <w:r w:rsidR="001A63D0">
        <w:rPr>
          <w:rFonts w:asciiTheme="minorHAnsi" w:hAnsiTheme="minorHAnsi"/>
          <w:bCs/>
        </w:rPr>
        <w:t xml:space="preserve">economy </w:t>
      </w:r>
      <w:r w:rsidR="00C25C98">
        <w:rPr>
          <w:rFonts w:asciiTheme="minorHAnsi" w:hAnsiTheme="minorHAnsi"/>
          <w:bCs/>
        </w:rPr>
        <w:t>continues to grow, albeit slowly.</w:t>
      </w:r>
      <w:r w:rsidR="007221A8">
        <w:rPr>
          <w:rFonts w:asciiTheme="minorHAnsi" w:hAnsiTheme="minorHAnsi"/>
          <w:bCs/>
        </w:rPr>
        <w:t xml:space="preserve">  Significant gains in consumers’ outlook on the economy were observed from November 2012 through April 2013.  However, the current survey reveals only a slight improvement in outlook from April to September of this year.</w:t>
      </w:r>
    </w:p>
    <w:p w:rsidR="00BC6850" w:rsidRDefault="00BC6850" w:rsidP="00BC6850">
      <w:pPr>
        <w:pStyle w:val="BodyText"/>
        <w:jc w:val="both"/>
        <w:rPr>
          <w:rFonts w:asciiTheme="minorHAnsi" w:hAnsiTheme="minorHAnsi"/>
        </w:rPr>
      </w:pPr>
    </w:p>
    <w:p w:rsidR="00BC6850" w:rsidRDefault="00BC6850" w:rsidP="00BC6850">
      <w:pPr>
        <w:pStyle w:val="BodyText"/>
        <w:jc w:val="both"/>
        <w:rPr>
          <w:rFonts w:asciiTheme="minorHAnsi" w:hAnsiTheme="minorHAnsi"/>
          <w:bCs/>
        </w:rPr>
      </w:pPr>
      <w:r>
        <w:rPr>
          <w:rFonts w:asciiTheme="minorHAnsi" w:hAnsiTheme="minorHAnsi"/>
        </w:rPr>
        <w:t xml:space="preserve">     </w:t>
      </w:r>
      <w:r w:rsidRPr="00A16353">
        <w:rPr>
          <w:rFonts w:asciiTheme="minorHAnsi" w:hAnsiTheme="minorHAnsi"/>
        </w:rPr>
        <w:t>The current poll of</w:t>
      </w:r>
      <w:r>
        <w:rPr>
          <w:rFonts w:asciiTheme="minorHAnsi" w:hAnsiTheme="minorHAnsi"/>
        </w:rPr>
        <w:t xml:space="preserve"> 310 </w:t>
      </w:r>
      <w:r w:rsidRPr="00A16353">
        <w:rPr>
          <w:rFonts w:asciiTheme="minorHAnsi" w:hAnsiTheme="minorHAnsi"/>
        </w:rPr>
        <w:t>randomly selected adult residents of Davidson</w:t>
      </w:r>
      <w:r>
        <w:rPr>
          <w:rFonts w:asciiTheme="minorHAnsi" w:hAnsiTheme="minorHAnsi"/>
        </w:rPr>
        <w:t xml:space="preserve"> County</w:t>
      </w:r>
      <w:r w:rsidRPr="00A16353">
        <w:rPr>
          <w:rFonts w:asciiTheme="minorHAnsi" w:hAnsiTheme="minorHAnsi"/>
        </w:rPr>
        <w:t>, Rutherford</w:t>
      </w:r>
      <w:r>
        <w:rPr>
          <w:rFonts w:asciiTheme="minorHAnsi" w:hAnsiTheme="minorHAnsi"/>
        </w:rPr>
        <w:t xml:space="preserve"> County</w:t>
      </w:r>
      <w:r w:rsidRPr="00A16353">
        <w:rPr>
          <w:rFonts w:asciiTheme="minorHAnsi" w:hAnsiTheme="minorHAnsi"/>
        </w:rPr>
        <w:t xml:space="preserve"> and Williamson </w:t>
      </w:r>
      <w:r>
        <w:rPr>
          <w:rFonts w:asciiTheme="minorHAnsi" w:hAnsiTheme="minorHAnsi"/>
        </w:rPr>
        <w:t xml:space="preserve">County </w:t>
      </w:r>
      <w:r w:rsidRPr="00A16353">
        <w:rPr>
          <w:rFonts w:asciiTheme="minorHAnsi" w:hAnsiTheme="minorHAnsi"/>
        </w:rPr>
        <w:t xml:space="preserve">was conducted the evenings of </w:t>
      </w:r>
      <w:r>
        <w:rPr>
          <w:rFonts w:asciiTheme="minorHAnsi" w:hAnsiTheme="minorHAnsi"/>
        </w:rPr>
        <w:t xml:space="preserve">Tuesday, September 10 and Thursday, September 12. </w:t>
      </w:r>
      <w:r w:rsidRPr="00A16353">
        <w:rPr>
          <w:rFonts w:asciiTheme="minorHAnsi" w:hAnsiTheme="minorHAnsi"/>
        </w:rPr>
        <w:t xml:space="preserve">  </w:t>
      </w:r>
    </w:p>
    <w:p w:rsidR="001D6128" w:rsidRDefault="001D6128" w:rsidP="009821BD">
      <w:pPr>
        <w:pStyle w:val="BodyText"/>
        <w:jc w:val="both"/>
        <w:rPr>
          <w:rFonts w:asciiTheme="minorHAnsi" w:hAnsiTheme="minorHAnsi"/>
          <w:bCs/>
        </w:rPr>
      </w:pPr>
    </w:p>
    <w:p w:rsidR="001D6128" w:rsidRDefault="001D6128" w:rsidP="001D6128">
      <w:pPr>
        <w:jc w:val="center"/>
        <w:rPr>
          <w:rFonts w:asciiTheme="minorHAnsi" w:hAnsiTheme="minorHAnsi"/>
          <w:b/>
          <w:color w:val="002060"/>
          <w:sz w:val="28"/>
          <w:szCs w:val="28"/>
        </w:rPr>
      </w:pPr>
      <w:r w:rsidRPr="00ED7F2F">
        <w:rPr>
          <w:rFonts w:asciiTheme="minorHAnsi" w:hAnsiTheme="minorHAnsi"/>
          <w:b/>
          <w:color w:val="002060"/>
          <w:sz w:val="28"/>
          <w:szCs w:val="28"/>
        </w:rPr>
        <w:t>The Middle Tennessee Consumer Outlook Index and Components</w:t>
      </w:r>
    </w:p>
    <w:p w:rsidR="001D6128" w:rsidRPr="00ED7F2F" w:rsidRDefault="001D6128" w:rsidP="001D6128">
      <w:pPr>
        <w:jc w:val="center"/>
        <w:rPr>
          <w:rFonts w:asciiTheme="minorHAnsi" w:hAnsiTheme="minorHAnsi"/>
          <w:b/>
          <w:color w:val="002060"/>
          <w:sz w:val="28"/>
          <w:szCs w:val="28"/>
        </w:rPr>
      </w:pPr>
    </w:p>
    <w:tbl>
      <w:tblPr>
        <w:tblW w:w="87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15"/>
        <w:gridCol w:w="630"/>
        <w:gridCol w:w="630"/>
        <w:gridCol w:w="630"/>
        <w:gridCol w:w="630"/>
        <w:gridCol w:w="630"/>
        <w:gridCol w:w="630"/>
        <w:gridCol w:w="630"/>
        <w:gridCol w:w="630"/>
        <w:gridCol w:w="630"/>
        <w:gridCol w:w="630"/>
        <w:gridCol w:w="630"/>
      </w:tblGrid>
      <w:tr w:rsidR="001D6128" w:rsidRPr="00A16353" w:rsidTr="009D3B53">
        <w:trPr>
          <w:trHeight w:val="255"/>
        </w:trPr>
        <w:tc>
          <w:tcPr>
            <w:tcW w:w="1815" w:type="dxa"/>
            <w:shd w:val="clear" w:color="auto" w:fill="B8CCE4" w:themeFill="accent1" w:themeFillTint="66"/>
            <w:noWrap/>
            <w:tcMar>
              <w:top w:w="15" w:type="dxa"/>
              <w:left w:w="15" w:type="dxa"/>
              <w:bottom w:w="0" w:type="dxa"/>
              <w:right w:w="15" w:type="dxa"/>
            </w:tcMar>
            <w:vAlign w:val="bottom"/>
          </w:tcPr>
          <w:p w:rsidR="001D6128" w:rsidRPr="00A16353" w:rsidRDefault="001D6128" w:rsidP="009D3B53">
            <w:pPr>
              <w:rPr>
                <w:rFonts w:asciiTheme="minorHAnsi" w:eastAsia="Arial Unicode MS" w:hAnsiTheme="minorHAnsi"/>
                <w:sz w:val="16"/>
                <w:szCs w:val="16"/>
              </w:rPr>
            </w:pPr>
            <w:r w:rsidRPr="00A16353">
              <w:rPr>
                <w:rFonts w:asciiTheme="minorHAnsi" w:hAnsiTheme="minorHAnsi"/>
              </w:rPr>
              <w:br w:type="column"/>
            </w:r>
          </w:p>
        </w:tc>
        <w:tc>
          <w:tcPr>
            <w:tcW w:w="630" w:type="dxa"/>
            <w:shd w:val="clear" w:color="auto" w:fill="B8CCE4" w:themeFill="accent1" w:themeFillTint="66"/>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Apr ‘11</w:t>
            </w:r>
          </w:p>
        </w:tc>
        <w:tc>
          <w:tcPr>
            <w:tcW w:w="630" w:type="dxa"/>
            <w:shd w:val="clear" w:color="auto" w:fill="B8CCE4" w:themeFill="accent1" w:themeFillTint="66"/>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May ‘11</w:t>
            </w:r>
          </w:p>
        </w:tc>
        <w:tc>
          <w:tcPr>
            <w:tcW w:w="630" w:type="dxa"/>
            <w:shd w:val="clear" w:color="auto" w:fill="B8CCE4" w:themeFill="accent1" w:themeFillTint="66"/>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Sept ‘11</w:t>
            </w:r>
          </w:p>
        </w:tc>
        <w:tc>
          <w:tcPr>
            <w:tcW w:w="630" w:type="dxa"/>
            <w:shd w:val="clear" w:color="auto" w:fill="B8CCE4" w:themeFill="accent1" w:themeFillTint="66"/>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Dec</w:t>
            </w:r>
          </w:p>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‘11</w:t>
            </w:r>
          </w:p>
        </w:tc>
        <w:tc>
          <w:tcPr>
            <w:tcW w:w="630" w:type="dxa"/>
            <w:shd w:val="clear" w:color="auto" w:fill="B8CCE4" w:themeFill="accent1" w:themeFillTint="66"/>
          </w:tcPr>
          <w:p w:rsidR="001D6128" w:rsidRPr="00140EF4" w:rsidRDefault="001D6128" w:rsidP="009D3B53">
            <w:pPr>
              <w:jc w:val="center"/>
              <w:rPr>
                <w:rFonts w:asciiTheme="minorHAnsi" w:hAnsiTheme="minorHAnsi"/>
                <w:bCs/>
                <w:sz w:val="24"/>
                <w:szCs w:val="24"/>
              </w:rPr>
            </w:pPr>
            <w:r w:rsidRPr="00140EF4">
              <w:rPr>
                <w:rFonts w:asciiTheme="minorHAnsi" w:hAnsiTheme="minorHAnsi"/>
                <w:bCs/>
                <w:sz w:val="24"/>
                <w:szCs w:val="24"/>
              </w:rPr>
              <w:t>Jan</w:t>
            </w:r>
          </w:p>
          <w:p w:rsidR="001D6128" w:rsidRPr="00140EF4" w:rsidRDefault="001D6128" w:rsidP="009D3B53">
            <w:pPr>
              <w:jc w:val="center"/>
              <w:rPr>
                <w:rFonts w:asciiTheme="minorHAnsi" w:hAnsiTheme="minorHAnsi"/>
                <w:bCs/>
                <w:sz w:val="24"/>
                <w:szCs w:val="24"/>
              </w:rPr>
            </w:pPr>
            <w:r w:rsidRPr="00140EF4">
              <w:rPr>
                <w:rFonts w:asciiTheme="minorHAnsi" w:hAnsiTheme="minorHAnsi"/>
                <w:bCs/>
                <w:sz w:val="24"/>
                <w:szCs w:val="24"/>
              </w:rPr>
              <w:t>‘12</w:t>
            </w:r>
          </w:p>
        </w:tc>
        <w:tc>
          <w:tcPr>
            <w:tcW w:w="630" w:type="dxa"/>
            <w:shd w:val="clear" w:color="auto" w:fill="B8CCE4" w:themeFill="accent1" w:themeFillTint="66"/>
          </w:tcPr>
          <w:p w:rsidR="001D6128" w:rsidRPr="008C68FB" w:rsidRDefault="001D6128" w:rsidP="009D3B53">
            <w:pPr>
              <w:jc w:val="center"/>
              <w:rPr>
                <w:rFonts w:asciiTheme="minorHAnsi" w:hAnsiTheme="minorHAnsi"/>
                <w:bCs/>
                <w:sz w:val="24"/>
                <w:szCs w:val="24"/>
              </w:rPr>
            </w:pPr>
            <w:r w:rsidRPr="008C68FB">
              <w:rPr>
                <w:rFonts w:asciiTheme="minorHAnsi" w:hAnsiTheme="minorHAnsi"/>
                <w:bCs/>
                <w:sz w:val="24"/>
                <w:szCs w:val="24"/>
              </w:rPr>
              <w:t>Apr ‘12</w:t>
            </w:r>
          </w:p>
        </w:tc>
        <w:tc>
          <w:tcPr>
            <w:tcW w:w="630" w:type="dxa"/>
            <w:shd w:val="clear" w:color="auto" w:fill="B8CCE4" w:themeFill="accent1" w:themeFillTint="66"/>
          </w:tcPr>
          <w:p w:rsidR="001D6128" w:rsidRPr="002C5F55" w:rsidRDefault="001D6128" w:rsidP="009D3B53">
            <w:pPr>
              <w:jc w:val="center"/>
              <w:rPr>
                <w:rFonts w:asciiTheme="minorHAnsi" w:hAnsiTheme="minorHAnsi"/>
                <w:bCs/>
                <w:sz w:val="24"/>
                <w:szCs w:val="24"/>
              </w:rPr>
            </w:pPr>
            <w:r w:rsidRPr="002C5F55">
              <w:rPr>
                <w:rFonts w:asciiTheme="minorHAnsi" w:hAnsiTheme="minorHAnsi"/>
                <w:bCs/>
                <w:sz w:val="24"/>
                <w:szCs w:val="24"/>
              </w:rPr>
              <w:t>Sept ‘12</w:t>
            </w:r>
          </w:p>
        </w:tc>
        <w:tc>
          <w:tcPr>
            <w:tcW w:w="630" w:type="dxa"/>
            <w:shd w:val="clear" w:color="auto" w:fill="B8CCE4" w:themeFill="accent1" w:themeFillTint="66"/>
          </w:tcPr>
          <w:p w:rsidR="001D6128" w:rsidRPr="004C6631" w:rsidRDefault="001D6128" w:rsidP="009D3B53">
            <w:pPr>
              <w:jc w:val="center"/>
              <w:rPr>
                <w:rFonts w:asciiTheme="minorHAnsi" w:hAnsiTheme="minorHAnsi"/>
                <w:bCs/>
                <w:sz w:val="24"/>
                <w:szCs w:val="24"/>
              </w:rPr>
            </w:pPr>
            <w:r w:rsidRPr="004C6631">
              <w:rPr>
                <w:rFonts w:asciiTheme="minorHAnsi" w:hAnsiTheme="minorHAnsi"/>
                <w:bCs/>
                <w:sz w:val="24"/>
                <w:szCs w:val="24"/>
              </w:rPr>
              <w:t>Nov ‘12</w:t>
            </w:r>
          </w:p>
        </w:tc>
        <w:tc>
          <w:tcPr>
            <w:tcW w:w="630" w:type="dxa"/>
            <w:shd w:val="clear" w:color="auto" w:fill="B8CCE4" w:themeFill="accent1" w:themeFillTint="66"/>
          </w:tcPr>
          <w:p w:rsidR="001D6128" w:rsidRPr="0082033A" w:rsidRDefault="001D6128" w:rsidP="009D3B53">
            <w:pPr>
              <w:jc w:val="center"/>
              <w:rPr>
                <w:rFonts w:asciiTheme="minorHAnsi" w:hAnsiTheme="minorHAnsi"/>
                <w:bCs/>
                <w:sz w:val="24"/>
                <w:szCs w:val="24"/>
              </w:rPr>
            </w:pPr>
            <w:r w:rsidRPr="0082033A">
              <w:rPr>
                <w:rFonts w:asciiTheme="minorHAnsi" w:hAnsiTheme="minorHAnsi"/>
                <w:bCs/>
                <w:sz w:val="24"/>
                <w:szCs w:val="24"/>
              </w:rPr>
              <w:t>Feb ‘13</w:t>
            </w:r>
          </w:p>
        </w:tc>
        <w:tc>
          <w:tcPr>
            <w:tcW w:w="630" w:type="dxa"/>
            <w:shd w:val="clear" w:color="auto" w:fill="B8CCE4" w:themeFill="accent1" w:themeFillTint="66"/>
          </w:tcPr>
          <w:p w:rsidR="001D6128" w:rsidRPr="00985C05" w:rsidRDefault="001D6128" w:rsidP="009D3B53">
            <w:pPr>
              <w:jc w:val="center"/>
              <w:rPr>
                <w:rFonts w:asciiTheme="minorHAnsi" w:hAnsiTheme="minorHAnsi"/>
                <w:bCs/>
                <w:sz w:val="24"/>
                <w:szCs w:val="24"/>
              </w:rPr>
            </w:pPr>
            <w:r w:rsidRPr="00985C05">
              <w:rPr>
                <w:rFonts w:asciiTheme="minorHAnsi" w:hAnsiTheme="minorHAnsi"/>
                <w:bCs/>
                <w:sz w:val="24"/>
                <w:szCs w:val="24"/>
              </w:rPr>
              <w:t>Apr ‘13</w:t>
            </w:r>
          </w:p>
        </w:tc>
        <w:tc>
          <w:tcPr>
            <w:tcW w:w="630" w:type="dxa"/>
            <w:shd w:val="clear" w:color="auto" w:fill="B8CCE4" w:themeFill="accent1" w:themeFillTint="66"/>
          </w:tcPr>
          <w:p w:rsidR="001D6128" w:rsidRDefault="001D6128" w:rsidP="009D3B53">
            <w:pPr>
              <w:jc w:val="center"/>
              <w:rPr>
                <w:rFonts w:asciiTheme="minorHAnsi" w:hAnsiTheme="minorHAnsi"/>
                <w:b/>
                <w:bCs/>
                <w:sz w:val="24"/>
                <w:szCs w:val="24"/>
              </w:rPr>
            </w:pPr>
            <w:r>
              <w:rPr>
                <w:rFonts w:asciiTheme="minorHAnsi" w:hAnsiTheme="minorHAnsi"/>
                <w:b/>
                <w:bCs/>
                <w:sz w:val="24"/>
                <w:szCs w:val="24"/>
              </w:rPr>
              <w:t>Sept</w:t>
            </w:r>
          </w:p>
          <w:p w:rsidR="001D6128" w:rsidRDefault="001D6128" w:rsidP="009D3B53">
            <w:pPr>
              <w:jc w:val="center"/>
              <w:rPr>
                <w:rFonts w:asciiTheme="minorHAnsi" w:hAnsiTheme="minorHAnsi"/>
                <w:b/>
                <w:bCs/>
                <w:sz w:val="24"/>
                <w:szCs w:val="24"/>
              </w:rPr>
            </w:pPr>
            <w:r>
              <w:rPr>
                <w:rFonts w:asciiTheme="minorHAnsi" w:hAnsiTheme="minorHAnsi"/>
                <w:b/>
                <w:bCs/>
                <w:sz w:val="24"/>
                <w:szCs w:val="24"/>
              </w:rPr>
              <w:t>‘13</w:t>
            </w:r>
          </w:p>
        </w:tc>
      </w:tr>
      <w:tr w:rsidR="001D6128" w:rsidRPr="00A16353" w:rsidTr="009D3B53">
        <w:trPr>
          <w:trHeight w:val="255"/>
        </w:trPr>
        <w:tc>
          <w:tcPr>
            <w:tcW w:w="1815" w:type="dxa"/>
            <w:noWrap/>
            <w:tcMar>
              <w:top w:w="15" w:type="dxa"/>
              <w:left w:w="15" w:type="dxa"/>
              <w:bottom w:w="0" w:type="dxa"/>
              <w:right w:w="15" w:type="dxa"/>
            </w:tcMar>
            <w:vAlign w:val="center"/>
          </w:tcPr>
          <w:p w:rsidR="001D6128" w:rsidRPr="00A16353" w:rsidRDefault="001D6128" w:rsidP="009D3B53">
            <w:pPr>
              <w:rPr>
                <w:rFonts w:asciiTheme="minorHAnsi" w:eastAsia="Arial Unicode MS" w:hAnsiTheme="minorHAnsi"/>
                <w:sz w:val="16"/>
                <w:szCs w:val="16"/>
              </w:rPr>
            </w:pPr>
            <w:r w:rsidRPr="00A16353">
              <w:rPr>
                <w:rFonts w:asciiTheme="minorHAnsi" w:hAnsiTheme="minorHAnsi"/>
                <w:sz w:val="16"/>
                <w:szCs w:val="16"/>
              </w:rPr>
              <w:t xml:space="preserve">Overall </w:t>
            </w:r>
            <w:r>
              <w:rPr>
                <w:rFonts w:asciiTheme="minorHAnsi" w:hAnsiTheme="minorHAnsi"/>
                <w:sz w:val="16"/>
                <w:szCs w:val="16"/>
              </w:rPr>
              <w:t>Outlook</w:t>
            </w:r>
            <w:r w:rsidRPr="00A16353">
              <w:rPr>
                <w:rFonts w:asciiTheme="minorHAnsi" w:hAnsiTheme="minorHAnsi"/>
                <w:sz w:val="16"/>
                <w:szCs w:val="16"/>
              </w:rPr>
              <w:t xml:space="preserve"> Index</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54</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63</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27</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112</w:t>
            </w:r>
          </w:p>
        </w:tc>
        <w:tc>
          <w:tcPr>
            <w:tcW w:w="630" w:type="dxa"/>
          </w:tcPr>
          <w:p w:rsidR="001D6128" w:rsidRPr="00140EF4" w:rsidRDefault="001D6128" w:rsidP="009D3B53">
            <w:pPr>
              <w:jc w:val="center"/>
              <w:rPr>
                <w:rFonts w:asciiTheme="minorHAnsi" w:hAnsiTheme="minorHAnsi"/>
                <w:bCs/>
                <w:sz w:val="24"/>
                <w:szCs w:val="24"/>
              </w:rPr>
            </w:pPr>
            <w:r w:rsidRPr="00140EF4">
              <w:rPr>
                <w:rFonts w:asciiTheme="minorHAnsi" w:hAnsiTheme="minorHAnsi"/>
                <w:bCs/>
                <w:sz w:val="24"/>
                <w:szCs w:val="24"/>
              </w:rPr>
              <w:t>151</w:t>
            </w:r>
          </w:p>
        </w:tc>
        <w:tc>
          <w:tcPr>
            <w:tcW w:w="630" w:type="dxa"/>
          </w:tcPr>
          <w:p w:rsidR="001D6128" w:rsidRPr="008C68FB" w:rsidRDefault="001D6128" w:rsidP="009D3B53">
            <w:pPr>
              <w:jc w:val="center"/>
              <w:rPr>
                <w:rFonts w:asciiTheme="minorHAnsi" w:hAnsiTheme="minorHAnsi"/>
                <w:bCs/>
                <w:sz w:val="24"/>
                <w:szCs w:val="24"/>
              </w:rPr>
            </w:pPr>
            <w:r w:rsidRPr="008C68FB">
              <w:rPr>
                <w:rFonts w:asciiTheme="minorHAnsi" w:hAnsiTheme="minorHAnsi"/>
                <w:bCs/>
                <w:sz w:val="24"/>
                <w:szCs w:val="24"/>
              </w:rPr>
              <w:t>184</w:t>
            </w:r>
          </w:p>
        </w:tc>
        <w:tc>
          <w:tcPr>
            <w:tcW w:w="630" w:type="dxa"/>
          </w:tcPr>
          <w:p w:rsidR="001D6128" w:rsidRPr="002C5F55" w:rsidRDefault="001D6128" w:rsidP="009D3B53">
            <w:pPr>
              <w:jc w:val="center"/>
              <w:rPr>
                <w:rFonts w:asciiTheme="minorHAnsi" w:hAnsiTheme="minorHAnsi"/>
                <w:bCs/>
                <w:sz w:val="24"/>
                <w:szCs w:val="24"/>
              </w:rPr>
            </w:pPr>
            <w:r w:rsidRPr="002C5F55">
              <w:rPr>
                <w:rFonts w:asciiTheme="minorHAnsi" w:hAnsiTheme="minorHAnsi"/>
                <w:bCs/>
                <w:sz w:val="24"/>
                <w:szCs w:val="24"/>
              </w:rPr>
              <w:t>178</w:t>
            </w:r>
          </w:p>
        </w:tc>
        <w:tc>
          <w:tcPr>
            <w:tcW w:w="630" w:type="dxa"/>
          </w:tcPr>
          <w:p w:rsidR="001D6128" w:rsidRPr="004C6631" w:rsidRDefault="001D6128" w:rsidP="009D3B53">
            <w:pPr>
              <w:jc w:val="center"/>
              <w:rPr>
                <w:rFonts w:asciiTheme="minorHAnsi" w:hAnsiTheme="minorHAnsi"/>
                <w:bCs/>
                <w:sz w:val="24"/>
                <w:szCs w:val="24"/>
              </w:rPr>
            </w:pPr>
            <w:r w:rsidRPr="004C6631">
              <w:rPr>
                <w:rFonts w:asciiTheme="minorHAnsi" w:hAnsiTheme="minorHAnsi"/>
                <w:bCs/>
                <w:sz w:val="24"/>
                <w:szCs w:val="24"/>
              </w:rPr>
              <w:t>106</w:t>
            </w:r>
          </w:p>
        </w:tc>
        <w:tc>
          <w:tcPr>
            <w:tcW w:w="630" w:type="dxa"/>
          </w:tcPr>
          <w:p w:rsidR="001D6128" w:rsidRPr="0082033A" w:rsidRDefault="001D6128" w:rsidP="009D3B53">
            <w:pPr>
              <w:jc w:val="center"/>
              <w:rPr>
                <w:rFonts w:asciiTheme="minorHAnsi" w:hAnsiTheme="minorHAnsi"/>
                <w:bCs/>
                <w:sz w:val="24"/>
                <w:szCs w:val="24"/>
              </w:rPr>
            </w:pPr>
            <w:r w:rsidRPr="0082033A">
              <w:rPr>
                <w:rFonts w:asciiTheme="minorHAnsi" w:hAnsiTheme="minorHAnsi"/>
                <w:bCs/>
                <w:sz w:val="24"/>
                <w:szCs w:val="24"/>
              </w:rPr>
              <w:t>144</w:t>
            </w:r>
          </w:p>
        </w:tc>
        <w:tc>
          <w:tcPr>
            <w:tcW w:w="630" w:type="dxa"/>
          </w:tcPr>
          <w:p w:rsidR="001D6128" w:rsidRPr="00985C05" w:rsidRDefault="001D6128" w:rsidP="009D3B53">
            <w:pPr>
              <w:jc w:val="center"/>
              <w:rPr>
                <w:rFonts w:asciiTheme="minorHAnsi" w:hAnsiTheme="minorHAnsi"/>
                <w:bCs/>
                <w:sz w:val="24"/>
                <w:szCs w:val="24"/>
              </w:rPr>
            </w:pPr>
            <w:r w:rsidRPr="00985C05">
              <w:rPr>
                <w:rFonts w:asciiTheme="minorHAnsi" w:hAnsiTheme="minorHAnsi"/>
                <w:bCs/>
                <w:sz w:val="24"/>
                <w:szCs w:val="24"/>
              </w:rPr>
              <w:t>193</w:t>
            </w:r>
          </w:p>
        </w:tc>
        <w:tc>
          <w:tcPr>
            <w:tcW w:w="630" w:type="dxa"/>
          </w:tcPr>
          <w:p w:rsidR="001D6128" w:rsidRDefault="001D6128" w:rsidP="009D3B53">
            <w:pPr>
              <w:jc w:val="center"/>
              <w:rPr>
                <w:rFonts w:asciiTheme="minorHAnsi" w:hAnsiTheme="minorHAnsi"/>
                <w:b/>
                <w:bCs/>
                <w:sz w:val="24"/>
                <w:szCs w:val="24"/>
              </w:rPr>
            </w:pPr>
            <w:r>
              <w:rPr>
                <w:rFonts w:asciiTheme="minorHAnsi" w:hAnsiTheme="minorHAnsi"/>
                <w:b/>
                <w:bCs/>
                <w:sz w:val="24"/>
                <w:szCs w:val="24"/>
              </w:rPr>
              <w:t>199</w:t>
            </w:r>
            <w:r w:rsidRPr="0082033A">
              <w:rPr>
                <w:rStyle w:val="FootnoteReference"/>
                <w:rFonts w:asciiTheme="minorHAnsi" w:hAnsiTheme="minorHAnsi"/>
                <w:sz w:val="24"/>
                <w:szCs w:val="24"/>
              </w:rPr>
              <w:footnoteReference w:id="1"/>
            </w:r>
          </w:p>
        </w:tc>
      </w:tr>
      <w:tr w:rsidR="001D6128" w:rsidRPr="00A16353" w:rsidTr="009D3B53">
        <w:trPr>
          <w:trHeight w:val="255"/>
        </w:trPr>
        <w:tc>
          <w:tcPr>
            <w:tcW w:w="1815" w:type="dxa"/>
            <w:noWrap/>
            <w:tcMar>
              <w:top w:w="15" w:type="dxa"/>
              <w:left w:w="15" w:type="dxa"/>
              <w:bottom w:w="0" w:type="dxa"/>
              <w:right w:w="15" w:type="dxa"/>
            </w:tcMar>
            <w:vAlign w:val="center"/>
          </w:tcPr>
          <w:p w:rsidR="001D6128" w:rsidRPr="00A16353" w:rsidRDefault="001D6128" w:rsidP="009D3B53">
            <w:pPr>
              <w:rPr>
                <w:rFonts w:asciiTheme="minorHAnsi" w:eastAsia="Arial Unicode MS" w:hAnsiTheme="minorHAnsi"/>
                <w:sz w:val="16"/>
                <w:szCs w:val="16"/>
              </w:rPr>
            </w:pPr>
            <w:r w:rsidRPr="00A16353">
              <w:rPr>
                <w:rFonts w:asciiTheme="minorHAnsi" w:hAnsiTheme="minorHAnsi"/>
                <w:sz w:val="16"/>
                <w:szCs w:val="16"/>
              </w:rPr>
              <w:t>Current Situation Index</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-83</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-80</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-86</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-64</w:t>
            </w:r>
          </w:p>
        </w:tc>
        <w:tc>
          <w:tcPr>
            <w:tcW w:w="630" w:type="dxa"/>
          </w:tcPr>
          <w:p w:rsidR="001D6128" w:rsidRPr="00140EF4" w:rsidRDefault="001D6128" w:rsidP="009D3B53">
            <w:pPr>
              <w:jc w:val="center"/>
              <w:rPr>
                <w:rFonts w:asciiTheme="minorHAnsi" w:hAnsiTheme="minorHAnsi"/>
                <w:bCs/>
                <w:sz w:val="24"/>
                <w:szCs w:val="24"/>
              </w:rPr>
            </w:pPr>
            <w:r w:rsidRPr="00140EF4">
              <w:rPr>
                <w:rFonts w:asciiTheme="minorHAnsi" w:hAnsiTheme="minorHAnsi"/>
                <w:bCs/>
                <w:sz w:val="24"/>
                <w:szCs w:val="24"/>
              </w:rPr>
              <w:t>-55</w:t>
            </w:r>
          </w:p>
        </w:tc>
        <w:tc>
          <w:tcPr>
            <w:tcW w:w="630" w:type="dxa"/>
          </w:tcPr>
          <w:p w:rsidR="001D6128" w:rsidRPr="008C68FB" w:rsidRDefault="001D6128" w:rsidP="009D3B53">
            <w:pPr>
              <w:jc w:val="center"/>
              <w:rPr>
                <w:rFonts w:asciiTheme="minorHAnsi" w:hAnsiTheme="minorHAnsi"/>
                <w:bCs/>
                <w:sz w:val="24"/>
                <w:szCs w:val="24"/>
              </w:rPr>
            </w:pPr>
            <w:r w:rsidRPr="008C68FB">
              <w:rPr>
                <w:rFonts w:asciiTheme="minorHAnsi" w:hAnsiTheme="minorHAnsi"/>
                <w:bCs/>
                <w:sz w:val="24"/>
                <w:szCs w:val="24"/>
              </w:rPr>
              <w:t>-24</w:t>
            </w:r>
          </w:p>
        </w:tc>
        <w:tc>
          <w:tcPr>
            <w:tcW w:w="630" w:type="dxa"/>
          </w:tcPr>
          <w:p w:rsidR="001D6128" w:rsidRPr="002C5F55" w:rsidRDefault="001D6128" w:rsidP="009D3B53">
            <w:pPr>
              <w:jc w:val="center"/>
              <w:rPr>
                <w:rFonts w:asciiTheme="minorHAnsi" w:hAnsiTheme="minorHAnsi"/>
                <w:bCs/>
                <w:sz w:val="24"/>
                <w:szCs w:val="24"/>
              </w:rPr>
            </w:pPr>
            <w:r w:rsidRPr="002C5F55">
              <w:rPr>
                <w:rFonts w:asciiTheme="minorHAnsi" w:hAnsiTheme="minorHAnsi"/>
                <w:bCs/>
                <w:sz w:val="24"/>
                <w:szCs w:val="24"/>
              </w:rPr>
              <w:t>-26</w:t>
            </w:r>
          </w:p>
        </w:tc>
        <w:tc>
          <w:tcPr>
            <w:tcW w:w="630" w:type="dxa"/>
          </w:tcPr>
          <w:p w:rsidR="001D6128" w:rsidRPr="004C6631" w:rsidRDefault="001D6128" w:rsidP="009D3B53">
            <w:pPr>
              <w:jc w:val="center"/>
              <w:rPr>
                <w:rFonts w:asciiTheme="minorHAnsi" w:hAnsiTheme="minorHAnsi"/>
                <w:bCs/>
                <w:sz w:val="24"/>
                <w:szCs w:val="24"/>
              </w:rPr>
            </w:pPr>
            <w:r w:rsidRPr="004C6631">
              <w:rPr>
                <w:rFonts w:asciiTheme="minorHAnsi" w:hAnsiTheme="minorHAnsi"/>
                <w:bCs/>
                <w:sz w:val="24"/>
                <w:szCs w:val="24"/>
              </w:rPr>
              <w:t>-22</w:t>
            </w:r>
          </w:p>
        </w:tc>
        <w:tc>
          <w:tcPr>
            <w:tcW w:w="630" w:type="dxa"/>
          </w:tcPr>
          <w:p w:rsidR="001D6128" w:rsidRPr="0082033A" w:rsidRDefault="001D6128" w:rsidP="009D3B53">
            <w:pPr>
              <w:jc w:val="center"/>
              <w:rPr>
                <w:rFonts w:asciiTheme="minorHAnsi" w:hAnsiTheme="minorHAnsi"/>
                <w:bCs/>
                <w:sz w:val="24"/>
                <w:szCs w:val="24"/>
              </w:rPr>
            </w:pPr>
            <w:r w:rsidRPr="0082033A">
              <w:rPr>
                <w:rFonts w:asciiTheme="minorHAnsi" w:hAnsiTheme="minorHAnsi"/>
                <w:bCs/>
                <w:sz w:val="24"/>
                <w:szCs w:val="24"/>
              </w:rPr>
              <w:t>-16</w:t>
            </w:r>
          </w:p>
        </w:tc>
        <w:tc>
          <w:tcPr>
            <w:tcW w:w="630" w:type="dxa"/>
          </w:tcPr>
          <w:p w:rsidR="001D6128" w:rsidRPr="00985C05" w:rsidRDefault="001D6128" w:rsidP="009D3B53">
            <w:pPr>
              <w:jc w:val="center"/>
              <w:rPr>
                <w:rFonts w:asciiTheme="minorHAnsi" w:hAnsiTheme="minorHAnsi"/>
                <w:bCs/>
                <w:sz w:val="24"/>
                <w:szCs w:val="24"/>
              </w:rPr>
            </w:pPr>
            <w:r w:rsidRPr="00985C05">
              <w:rPr>
                <w:rFonts w:asciiTheme="minorHAnsi" w:hAnsiTheme="minorHAnsi"/>
                <w:bCs/>
                <w:sz w:val="24"/>
                <w:szCs w:val="24"/>
              </w:rPr>
              <w:t>1</w:t>
            </w:r>
          </w:p>
        </w:tc>
        <w:tc>
          <w:tcPr>
            <w:tcW w:w="630" w:type="dxa"/>
          </w:tcPr>
          <w:p w:rsidR="001D6128" w:rsidRDefault="001D6128" w:rsidP="009D3B53">
            <w:pPr>
              <w:jc w:val="center"/>
              <w:rPr>
                <w:rFonts w:asciiTheme="minorHAnsi" w:hAnsiTheme="minorHAnsi"/>
                <w:b/>
                <w:bCs/>
                <w:sz w:val="24"/>
                <w:szCs w:val="24"/>
              </w:rPr>
            </w:pPr>
            <w:r>
              <w:rPr>
                <w:rFonts w:asciiTheme="minorHAnsi" w:hAnsiTheme="minorHAnsi"/>
                <w:b/>
                <w:bCs/>
                <w:sz w:val="24"/>
                <w:szCs w:val="24"/>
              </w:rPr>
              <w:t>18</w:t>
            </w:r>
          </w:p>
        </w:tc>
      </w:tr>
      <w:tr w:rsidR="001D6128" w:rsidRPr="00A16353" w:rsidTr="009D3B53">
        <w:trPr>
          <w:trHeight w:val="255"/>
        </w:trPr>
        <w:tc>
          <w:tcPr>
            <w:tcW w:w="1815" w:type="dxa"/>
            <w:noWrap/>
            <w:tcMar>
              <w:top w:w="15" w:type="dxa"/>
              <w:left w:w="15" w:type="dxa"/>
              <w:bottom w:w="0" w:type="dxa"/>
              <w:right w:w="15" w:type="dxa"/>
            </w:tcMar>
            <w:vAlign w:val="center"/>
          </w:tcPr>
          <w:p w:rsidR="001D6128" w:rsidRPr="00A16353" w:rsidRDefault="001D6128" w:rsidP="009D3B53">
            <w:pPr>
              <w:rPr>
                <w:rFonts w:asciiTheme="minorHAnsi" w:eastAsia="Arial Unicode MS" w:hAnsiTheme="minorHAnsi"/>
                <w:sz w:val="16"/>
                <w:szCs w:val="16"/>
              </w:rPr>
            </w:pPr>
            <w:r w:rsidRPr="00A16353">
              <w:rPr>
                <w:rFonts w:asciiTheme="minorHAnsi" w:hAnsiTheme="minorHAnsi"/>
                <w:sz w:val="16"/>
                <w:szCs w:val="16"/>
              </w:rPr>
              <w:t>Future Expectations Index</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75</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99</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59</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97</w:t>
            </w:r>
          </w:p>
        </w:tc>
        <w:tc>
          <w:tcPr>
            <w:tcW w:w="630" w:type="dxa"/>
          </w:tcPr>
          <w:p w:rsidR="001D6128" w:rsidRPr="00140EF4" w:rsidRDefault="001D6128" w:rsidP="009D3B53">
            <w:pPr>
              <w:jc w:val="center"/>
              <w:rPr>
                <w:rFonts w:asciiTheme="minorHAnsi" w:hAnsiTheme="minorHAnsi"/>
                <w:bCs/>
                <w:sz w:val="24"/>
                <w:szCs w:val="24"/>
              </w:rPr>
            </w:pPr>
            <w:r w:rsidRPr="00140EF4">
              <w:rPr>
                <w:rFonts w:asciiTheme="minorHAnsi" w:hAnsiTheme="minorHAnsi"/>
                <w:bCs/>
                <w:sz w:val="24"/>
                <w:szCs w:val="24"/>
              </w:rPr>
              <w:t>125</w:t>
            </w:r>
          </w:p>
        </w:tc>
        <w:tc>
          <w:tcPr>
            <w:tcW w:w="630" w:type="dxa"/>
          </w:tcPr>
          <w:p w:rsidR="001D6128" w:rsidRPr="008C68FB" w:rsidRDefault="001D6128" w:rsidP="009D3B53">
            <w:pPr>
              <w:jc w:val="center"/>
              <w:rPr>
                <w:rFonts w:asciiTheme="minorHAnsi" w:hAnsiTheme="minorHAnsi"/>
                <w:bCs/>
                <w:sz w:val="24"/>
                <w:szCs w:val="24"/>
              </w:rPr>
            </w:pPr>
            <w:r w:rsidRPr="008C68FB">
              <w:rPr>
                <w:rFonts w:asciiTheme="minorHAnsi" w:hAnsiTheme="minorHAnsi"/>
                <w:bCs/>
                <w:sz w:val="24"/>
                <w:szCs w:val="24"/>
              </w:rPr>
              <w:t>115</w:t>
            </w:r>
          </w:p>
        </w:tc>
        <w:tc>
          <w:tcPr>
            <w:tcW w:w="630" w:type="dxa"/>
          </w:tcPr>
          <w:p w:rsidR="001D6128" w:rsidRPr="002C5F55" w:rsidRDefault="001D6128" w:rsidP="009D3B53">
            <w:pPr>
              <w:jc w:val="center"/>
              <w:rPr>
                <w:rFonts w:asciiTheme="minorHAnsi" w:hAnsiTheme="minorHAnsi"/>
                <w:bCs/>
                <w:sz w:val="24"/>
                <w:szCs w:val="24"/>
              </w:rPr>
            </w:pPr>
            <w:r w:rsidRPr="002C5F55">
              <w:rPr>
                <w:rFonts w:asciiTheme="minorHAnsi" w:hAnsiTheme="minorHAnsi"/>
                <w:bCs/>
                <w:sz w:val="24"/>
                <w:szCs w:val="24"/>
              </w:rPr>
              <w:t>112</w:t>
            </w:r>
          </w:p>
        </w:tc>
        <w:tc>
          <w:tcPr>
            <w:tcW w:w="630" w:type="dxa"/>
          </w:tcPr>
          <w:p w:rsidR="001D6128" w:rsidRPr="004C6631" w:rsidRDefault="001D6128" w:rsidP="009D3B53">
            <w:pPr>
              <w:jc w:val="center"/>
              <w:rPr>
                <w:rFonts w:asciiTheme="minorHAnsi" w:hAnsiTheme="minorHAnsi"/>
                <w:bCs/>
                <w:sz w:val="24"/>
                <w:szCs w:val="24"/>
              </w:rPr>
            </w:pPr>
            <w:r w:rsidRPr="004C6631">
              <w:rPr>
                <w:rFonts w:asciiTheme="minorHAnsi" w:hAnsiTheme="minorHAnsi"/>
                <w:bCs/>
                <w:sz w:val="24"/>
                <w:szCs w:val="24"/>
              </w:rPr>
              <w:t>55</w:t>
            </w:r>
          </w:p>
        </w:tc>
        <w:tc>
          <w:tcPr>
            <w:tcW w:w="630" w:type="dxa"/>
          </w:tcPr>
          <w:p w:rsidR="001D6128" w:rsidRPr="0082033A" w:rsidRDefault="001D6128" w:rsidP="009D3B53">
            <w:pPr>
              <w:jc w:val="center"/>
              <w:rPr>
                <w:rFonts w:asciiTheme="minorHAnsi" w:hAnsiTheme="minorHAnsi"/>
                <w:bCs/>
                <w:sz w:val="24"/>
                <w:szCs w:val="24"/>
              </w:rPr>
            </w:pPr>
            <w:r w:rsidRPr="0082033A">
              <w:rPr>
                <w:rFonts w:asciiTheme="minorHAnsi" w:hAnsiTheme="minorHAnsi"/>
                <w:bCs/>
                <w:sz w:val="24"/>
                <w:szCs w:val="24"/>
              </w:rPr>
              <w:t>78</w:t>
            </w:r>
          </w:p>
        </w:tc>
        <w:tc>
          <w:tcPr>
            <w:tcW w:w="630" w:type="dxa"/>
          </w:tcPr>
          <w:p w:rsidR="001D6128" w:rsidRPr="00985C05" w:rsidRDefault="001D6128" w:rsidP="009D3B53">
            <w:pPr>
              <w:jc w:val="center"/>
              <w:rPr>
                <w:rFonts w:asciiTheme="minorHAnsi" w:hAnsiTheme="minorHAnsi"/>
                <w:bCs/>
                <w:sz w:val="24"/>
                <w:szCs w:val="24"/>
              </w:rPr>
            </w:pPr>
            <w:r w:rsidRPr="00985C05">
              <w:rPr>
                <w:rFonts w:asciiTheme="minorHAnsi" w:hAnsiTheme="minorHAnsi"/>
                <w:bCs/>
                <w:sz w:val="24"/>
                <w:szCs w:val="24"/>
              </w:rPr>
              <w:t>97</w:t>
            </w:r>
          </w:p>
        </w:tc>
        <w:tc>
          <w:tcPr>
            <w:tcW w:w="630" w:type="dxa"/>
          </w:tcPr>
          <w:p w:rsidR="001D6128" w:rsidRDefault="001D6128" w:rsidP="009D3B53">
            <w:pPr>
              <w:jc w:val="center"/>
              <w:rPr>
                <w:rFonts w:asciiTheme="minorHAnsi" w:hAnsiTheme="minorHAnsi"/>
                <w:b/>
                <w:bCs/>
                <w:sz w:val="24"/>
                <w:szCs w:val="24"/>
              </w:rPr>
            </w:pPr>
            <w:r>
              <w:rPr>
                <w:rFonts w:asciiTheme="minorHAnsi" w:hAnsiTheme="minorHAnsi"/>
                <w:b/>
                <w:bCs/>
                <w:sz w:val="24"/>
                <w:szCs w:val="24"/>
              </w:rPr>
              <w:t>86</w:t>
            </w:r>
          </w:p>
        </w:tc>
      </w:tr>
      <w:tr w:rsidR="001D6128" w:rsidRPr="00A16353" w:rsidTr="009D3B53">
        <w:trPr>
          <w:trHeight w:val="255"/>
        </w:trPr>
        <w:tc>
          <w:tcPr>
            <w:tcW w:w="1815" w:type="dxa"/>
            <w:noWrap/>
            <w:tcMar>
              <w:top w:w="15" w:type="dxa"/>
              <w:left w:w="15" w:type="dxa"/>
              <w:bottom w:w="0" w:type="dxa"/>
              <w:right w:w="15" w:type="dxa"/>
            </w:tcMar>
            <w:vAlign w:val="center"/>
          </w:tcPr>
          <w:p w:rsidR="001D6128" w:rsidRPr="00A16353" w:rsidRDefault="001D6128" w:rsidP="009D3B53">
            <w:pPr>
              <w:rPr>
                <w:rFonts w:asciiTheme="minorHAnsi" w:eastAsia="Arial Unicode MS" w:hAnsiTheme="minorHAnsi"/>
                <w:sz w:val="16"/>
                <w:szCs w:val="16"/>
              </w:rPr>
            </w:pPr>
            <w:r w:rsidRPr="00A16353">
              <w:rPr>
                <w:rFonts w:asciiTheme="minorHAnsi" w:hAnsiTheme="minorHAnsi"/>
                <w:sz w:val="16"/>
                <w:szCs w:val="16"/>
              </w:rPr>
              <w:t>Purchasing Index</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62</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44</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54</w:t>
            </w:r>
          </w:p>
        </w:tc>
        <w:tc>
          <w:tcPr>
            <w:tcW w:w="630" w:type="dxa"/>
          </w:tcPr>
          <w:p w:rsidR="001D6128" w:rsidRPr="0022312B" w:rsidRDefault="001D6128" w:rsidP="009D3B53">
            <w:pPr>
              <w:jc w:val="center"/>
              <w:rPr>
                <w:rFonts w:asciiTheme="minorHAnsi" w:hAnsiTheme="minorHAnsi"/>
                <w:bCs/>
                <w:sz w:val="24"/>
                <w:szCs w:val="24"/>
              </w:rPr>
            </w:pPr>
            <w:r w:rsidRPr="0022312B">
              <w:rPr>
                <w:rFonts w:asciiTheme="minorHAnsi" w:hAnsiTheme="minorHAnsi"/>
                <w:bCs/>
                <w:sz w:val="24"/>
                <w:szCs w:val="24"/>
              </w:rPr>
              <w:t>79</w:t>
            </w:r>
          </w:p>
        </w:tc>
        <w:tc>
          <w:tcPr>
            <w:tcW w:w="630" w:type="dxa"/>
          </w:tcPr>
          <w:p w:rsidR="001D6128" w:rsidRPr="00140EF4" w:rsidRDefault="001D6128" w:rsidP="009D3B53">
            <w:pPr>
              <w:jc w:val="center"/>
              <w:rPr>
                <w:rFonts w:asciiTheme="minorHAnsi" w:hAnsiTheme="minorHAnsi"/>
                <w:bCs/>
                <w:sz w:val="24"/>
                <w:szCs w:val="24"/>
              </w:rPr>
            </w:pPr>
            <w:r w:rsidRPr="00140EF4">
              <w:rPr>
                <w:rFonts w:asciiTheme="minorHAnsi" w:hAnsiTheme="minorHAnsi"/>
                <w:bCs/>
                <w:sz w:val="24"/>
                <w:szCs w:val="24"/>
              </w:rPr>
              <w:t>81</w:t>
            </w:r>
          </w:p>
        </w:tc>
        <w:tc>
          <w:tcPr>
            <w:tcW w:w="630" w:type="dxa"/>
          </w:tcPr>
          <w:p w:rsidR="001D6128" w:rsidRPr="008C68FB" w:rsidRDefault="001D6128" w:rsidP="009D3B53">
            <w:pPr>
              <w:jc w:val="center"/>
              <w:rPr>
                <w:rFonts w:asciiTheme="minorHAnsi" w:hAnsiTheme="minorHAnsi"/>
                <w:bCs/>
                <w:sz w:val="24"/>
                <w:szCs w:val="24"/>
              </w:rPr>
            </w:pPr>
            <w:r w:rsidRPr="008C68FB">
              <w:rPr>
                <w:rFonts w:asciiTheme="minorHAnsi" w:hAnsiTheme="minorHAnsi"/>
                <w:bCs/>
                <w:sz w:val="24"/>
                <w:szCs w:val="24"/>
              </w:rPr>
              <w:t>93</w:t>
            </w:r>
          </w:p>
        </w:tc>
        <w:tc>
          <w:tcPr>
            <w:tcW w:w="630" w:type="dxa"/>
          </w:tcPr>
          <w:p w:rsidR="001D6128" w:rsidRPr="002C5F55" w:rsidRDefault="001D6128" w:rsidP="009D3B53">
            <w:pPr>
              <w:jc w:val="center"/>
              <w:rPr>
                <w:rFonts w:asciiTheme="minorHAnsi" w:hAnsiTheme="minorHAnsi"/>
                <w:bCs/>
                <w:sz w:val="24"/>
                <w:szCs w:val="24"/>
              </w:rPr>
            </w:pPr>
            <w:r w:rsidRPr="002C5F55">
              <w:rPr>
                <w:rFonts w:asciiTheme="minorHAnsi" w:hAnsiTheme="minorHAnsi"/>
                <w:bCs/>
                <w:sz w:val="24"/>
                <w:szCs w:val="24"/>
              </w:rPr>
              <w:t>92</w:t>
            </w:r>
          </w:p>
        </w:tc>
        <w:tc>
          <w:tcPr>
            <w:tcW w:w="630" w:type="dxa"/>
          </w:tcPr>
          <w:p w:rsidR="001D6128" w:rsidRPr="004C6631" w:rsidRDefault="001D6128" w:rsidP="009D3B53">
            <w:pPr>
              <w:jc w:val="center"/>
              <w:rPr>
                <w:rFonts w:asciiTheme="minorHAnsi" w:hAnsiTheme="minorHAnsi"/>
                <w:bCs/>
                <w:sz w:val="24"/>
                <w:szCs w:val="24"/>
              </w:rPr>
            </w:pPr>
            <w:r w:rsidRPr="004C6631">
              <w:rPr>
                <w:rFonts w:asciiTheme="minorHAnsi" w:hAnsiTheme="minorHAnsi"/>
                <w:bCs/>
                <w:sz w:val="24"/>
                <w:szCs w:val="24"/>
              </w:rPr>
              <w:t>73</w:t>
            </w:r>
          </w:p>
        </w:tc>
        <w:tc>
          <w:tcPr>
            <w:tcW w:w="630" w:type="dxa"/>
          </w:tcPr>
          <w:p w:rsidR="001D6128" w:rsidRPr="0082033A" w:rsidRDefault="001D6128" w:rsidP="009D3B53">
            <w:pPr>
              <w:jc w:val="center"/>
              <w:rPr>
                <w:rFonts w:asciiTheme="minorHAnsi" w:hAnsiTheme="minorHAnsi"/>
                <w:bCs/>
                <w:sz w:val="24"/>
                <w:szCs w:val="24"/>
              </w:rPr>
            </w:pPr>
            <w:r w:rsidRPr="0082033A">
              <w:rPr>
                <w:rFonts w:asciiTheme="minorHAnsi" w:hAnsiTheme="minorHAnsi"/>
                <w:bCs/>
                <w:sz w:val="24"/>
                <w:szCs w:val="24"/>
              </w:rPr>
              <w:t>82</w:t>
            </w:r>
          </w:p>
        </w:tc>
        <w:tc>
          <w:tcPr>
            <w:tcW w:w="630" w:type="dxa"/>
          </w:tcPr>
          <w:p w:rsidR="001D6128" w:rsidRPr="00985C05" w:rsidRDefault="001D6128" w:rsidP="009D3B53">
            <w:pPr>
              <w:jc w:val="center"/>
              <w:rPr>
                <w:rFonts w:asciiTheme="minorHAnsi" w:hAnsiTheme="minorHAnsi"/>
                <w:bCs/>
                <w:sz w:val="24"/>
                <w:szCs w:val="24"/>
              </w:rPr>
            </w:pPr>
            <w:r w:rsidRPr="00985C05">
              <w:rPr>
                <w:rFonts w:asciiTheme="minorHAnsi" w:hAnsiTheme="minorHAnsi"/>
                <w:bCs/>
                <w:sz w:val="24"/>
                <w:szCs w:val="24"/>
              </w:rPr>
              <w:t>95</w:t>
            </w:r>
          </w:p>
        </w:tc>
        <w:tc>
          <w:tcPr>
            <w:tcW w:w="630" w:type="dxa"/>
          </w:tcPr>
          <w:p w:rsidR="001D6128" w:rsidRDefault="001D6128" w:rsidP="009D3B53">
            <w:pPr>
              <w:jc w:val="center"/>
              <w:rPr>
                <w:rFonts w:asciiTheme="minorHAnsi" w:hAnsiTheme="minorHAnsi"/>
                <w:b/>
                <w:bCs/>
                <w:sz w:val="24"/>
                <w:szCs w:val="24"/>
              </w:rPr>
            </w:pPr>
            <w:r>
              <w:rPr>
                <w:rFonts w:asciiTheme="minorHAnsi" w:hAnsiTheme="minorHAnsi"/>
                <w:b/>
                <w:bCs/>
                <w:sz w:val="24"/>
                <w:szCs w:val="24"/>
              </w:rPr>
              <w:t>95</w:t>
            </w:r>
          </w:p>
        </w:tc>
      </w:tr>
    </w:tbl>
    <w:p w:rsidR="001D6128" w:rsidRDefault="001D6128" w:rsidP="001D6128">
      <w:pPr>
        <w:pStyle w:val="BodyText"/>
        <w:jc w:val="both"/>
        <w:rPr>
          <w:rFonts w:asciiTheme="minorHAnsi" w:hAnsiTheme="minorHAnsi"/>
          <w:bCs/>
        </w:rPr>
      </w:pPr>
    </w:p>
    <w:p w:rsidR="00753CE9" w:rsidRDefault="007221A8" w:rsidP="009821BD">
      <w:pPr>
        <w:pStyle w:val="BodyText"/>
        <w:jc w:val="both"/>
        <w:rPr>
          <w:rFonts w:asciiTheme="minorHAnsi" w:hAnsiTheme="minorHAnsi"/>
          <w:bCs/>
        </w:rPr>
      </w:pPr>
      <w:r>
        <w:rPr>
          <w:rFonts w:asciiTheme="minorHAnsi" w:hAnsiTheme="minorHAnsi"/>
          <w:bCs/>
        </w:rPr>
        <w:t xml:space="preserve">     </w:t>
      </w:r>
      <w:r w:rsidR="00FC0884">
        <w:rPr>
          <w:rFonts w:asciiTheme="minorHAnsi" w:hAnsiTheme="minorHAnsi"/>
          <w:bCs/>
        </w:rPr>
        <w:t xml:space="preserve">The overall </w:t>
      </w:r>
      <w:r w:rsidR="00A0104E">
        <w:rPr>
          <w:rFonts w:asciiTheme="minorHAnsi" w:hAnsiTheme="minorHAnsi"/>
          <w:bCs/>
        </w:rPr>
        <w:t xml:space="preserve">consumer </w:t>
      </w:r>
      <w:r w:rsidR="00FC0884">
        <w:rPr>
          <w:rFonts w:asciiTheme="minorHAnsi" w:hAnsiTheme="minorHAnsi"/>
          <w:bCs/>
        </w:rPr>
        <w:t xml:space="preserve">outlook index </w:t>
      </w:r>
      <w:r w:rsidR="00753CE9">
        <w:rPr>
          <w:rFonts w:asciiTheme="minorHAnsi" w:hAnsiTheme="minorHAnsi"/>
          <w:bCs/>
        </w:rPr>
        <w:t xml:space="preserve">edged up to 199 from </w:t>
      </w:r>
      <w:r w:rsidR="00FB0B39">
        <w:rPr>
          <w:rFonts w:asciiTheme="minorHAnsi" w:hAnsiTheme="minorHAnsi"/>
          <w:bCs/>
        </w:rPr>
        <w:t>1</w:t>
      </w:r>
      <w:r w:rsidR="00BD42F4">
        <w:rPr>
          <w:rFonts w:asciiTheme="minorHAnsi" w:hAnsiTheme="minorHAnsi"/>
          <w:bCs/>
        </w:rPr>
        <w:t>93</w:t>
      </w:r>
      <w:r w:rsidR="00753CE9">
        <w:rPr>
          <w:rFonts w:asciiTheme="minorHAnsi" w:hAnsiTheme="minorHAnsi"/>
          <w:bCs/>
        </w:rPr>
        <w:t xml:space="preserve"> in April</w:t>
      </w:r>
      <w:r w:rsidR="00FB0B39">
        <w:rPr>
          <w:rFonts w:asciiTheme="minorHAnsi" w:hAnsiTheme="minorHAnsi"/>
          <w:bCs/>
        </w:rPr>
        <w:t xml:space="preserve">.  </w:t>
      </w:r>
      <w:r w:rsidR="00753CE9">
        <w:rPr>
          <w:rFonts w:asciiTheme="minorHAnsi" w:hAnsiTheme="minorHAnsi"/>
          <w:bCs/>
        </w:rPr>
        <w:t xml:space="preserve">The current situation index continued to move into the positive range indicating that </w:t>
      </w:r>
      <w:r w:rsidR="00753CE9">
        <w:rPr>
          <w:rFonts w:asciiTheme="minorHAnsi" w:hAnsiTheme="minorHAnsi"/>
          <w:bCs/>
        </w:rPr>
        <w:t xml:space="preserve">consumers who view the current economy positively outnumber those who view the economy negatively.  </w:t>
      </w:r>
      <w:r w:rsidR="00753CE9">
        <w:rPr>
          <w:rFonts w:asciiTheme="minorHAnsi" w:hAnsiTheme="minorHAnsi"/>
          <w:bCs/>
        </w:rPr>
        <w:t xml:space="preserve">And, consumers continue to view the local economy more positively than they view the overall U.S. economy.  However, </w:t>
      </w:r>
      <w:r w:rsidR="001D6128">
        <w:rPr>
          <w:rFonts w:asciiTheme="minorHAnsi" w:hAnsiTheme="minorHAnsi"/>
          <w:bCs/>
        </w:rPr>
        <w:t xml:space="preserve">the largest drag on </w:t>
      </w:r>
      <w:r w:rsidR="00753CE9">
        <w:rPr>
          <w:rFonts w:asciiTheme="minorHAnsi" w:hAnsiTheme="minorHAnsi"/>
          <w:bCs/>
        </w:rPr>
        <w:t xml:space="preserve">perceptions of the current economy </w:t>
      </w:r>
      <w:r w:rsidR="001D6128">
        <w:rPr>
          <w:rFonts w:asciiTheme="minorHAnsi" w:hAnsiTheme="minorHAnsi"/>
          <w:bCs/>
        </w:rPr>
        <w:t>is concerns about the job market.  L</w:t>
      </w:r>
      <w:r w:rsidR="00753CE9">
        <w:rPr>
          <w:rFonts w:asciiTheme="minorHAnsi" w:hAnsiTheme="minorHAnsi"/>
          <w:bCs/>
        </w:rPr>
        <w:t xml:space="preserve">ess than 10 percent of local </w:t>
      </w:r>
      <w:r w:rsidR="00753CE9">
        <w:rPr>
          <w:rFonts w:asciiTheme="minorHAnsi" w:hAnsiTheme="minorHAnsi"/>
          <w:bCs/>
        </w:rPr>
        <w:lastRenderedPageBreak/>
        <w:t xml:space="preserve">consumers reported that </w:t>
      </w:r>
      <w:r w:rsidR="001D6128">
        <w:rPr>
          <w:rFonts w:asciiTheme="minorHAnsi" w:hAnsiTheme="minorHAnsi"/>
          <w:bCs/>
        </w:rPr>
        <w:t>jobs in Middle Tennessee are “easy to find.”  Conversely, 29 percent reported that jobs in Middle Tennessee are “hard to find.”</w:t>
      </w:r>
    </w:p>
    <w:p w:rsidR="00753CE9" w:rsidRDefault="00753CE9" w:rsidP="009821BD">
      <w:pPr>
        <w:pStyle w:val="BodyText"/>
        <w:jc w:val="both"/>
        <w:rPr>
          <w:rFonts w:asciiTheme="minorHAnsi" w:hAnsiTheme="minorHAnsi"/>
          <w:bCs/>
        </w:rPr>
      </w:pPr>
    </w:p>
    <w:p w:rsidR="001D6128" w:rsidRDefault="001D6128" w:rsidP="009821BD">
      <w:pPr>
        <w:pStyle w:val="BodyText"/>
        <w:jc w:val="both"/>
        <w:rPr>
          <w:rFonts w:asciiTheme="minorHAnsi" w:hAnsiTheme="minorHAnsi"/>
          <w:bCs/>
        </w:rPr>
      </w:pPr>
      <w:r>
        <w:rPr>
          <w:rFonts w:asciiTheme="minorHAnsi" w:hAnsiTheme="minorHAnsi"/>
          <w:bCs/>
        </w:rPr>
        <w:t xml:space="preserve">     The </w:t>
      </w:r>
      <w:r w:rsidR="00753CE9">
        <w:rPr>
          <w:rFonts w:asciiTheme="minorHAnsi" w:hAnsiTheme="minorHAnsi"/>
          <w:bCs/>
        </w:rPr>
        <w:t xml:space="preserve">future expectations index dropped to 86 from 97, indicating that consumers’ expectations for a growing economy might be starting to wane.  </w:t>
      </w:r>
      <w:r>
        <w:rPr>
          <w:rFonts w:asciiTheme="minorHAnsi" w:hAnsiTheme="minorHAnsi"/>
          <w:bCs/>
        </w:rPr>
        <w:t xml:space="preserve">We observed a slight decrease in the percent of consumers who expect the overall U.S. economy to improve in the next six months as well as a decrease in the percent of consumers who expect the local economy to improve in the next six months.  </w:t>
      </w:r>
    </w:p>
    <w:p w:rsidR="001D6128" w:rsidRDefault="001D6128" w:rsidP="009821BD">
      <w:pPr>
        <w:pStyle w:val="BodyText"/>
        <w:jc w:val="both"/>
        <w:rPr>
          <w:rFonts w:asciiTheme="minorHAnsi" w:hAnsiTheme="minorHAnsi"/>
          <w:bCs/>
        </w:rPr>
      </w:pPr>
    </w:p>
    <w:p w:rsidR="00342C3E" w:rsidRDefault="00BC6850" w:rsidP="00342C3E">
      <w:pPr>
        <w:pStyle w:val="BodyText"/>
        <w:jc w:val="both"/>
        <w:rPr>
          <w:rFonts w:asciiTheme="minorHAnsi" w:hAnsiTheme="minorHAnsi"/>
          <w:bCs/>
        </w:rPr>
      </w:pPr>
      <w:proofErr w:type="gramStart"/>
      <w:r w:rsidRPr="00BC6850">
        <w:rPr>
          <w:rFonts w:asciiTheme="minorHAnsi" w:hAnsiTheme="minorHAnsi"/>
          <w:b/>
          <w:bCs/>
          <w:i/>
        </w:rPr>
        <w:t>Consumer Spending.</w:t>
      </w:r>
      <w:proofErr w:type="gramEnd"/>
      <w:r w:rsidR="001D6128">
        <w:rPr>
          <w:rFonts w:asciiTheme="minorHAnsi" w:hAnsiTheme="minorHAnsi"/>
          <w:bCs/>
        </w:rPr>
        <w:t xml:space="preserve">     Perceptions of the current and future economy can affect consumer spending plans.  </w:t>
      </w:r>
      <w:r w:rsidR="00753CE9">
        <w:rPr>
          <w:rFonts w:asciiTheme="minorHAnsi" w:hAnsiTheme="minorHAnsi"/>
          <w:bCs/>
        </w:rPr>
        <w:t>The purchasing situation index was unchanged at 95.</w:t>
      </w:r>
      <w:r w:rsidR="00342C3E">
        <w:rPr>
          <w:rFonts w:asciiTheme="minorHAnsi" w:hAnsiTheme="minorHAnsi"/>
          <w:bCs/>
        </w:rPr>
        <w:t xml:space="preserve">  However, </w:t>
      </w:r>
      <w:r w:rsidR="00342C3E">
        <w:rPr>
          <w:rFonts w:asciiTheme="minorHAnsi" w:hAnsiTheme="minorHAnsi"/>
          <w:bCs/>
        </w:rPr>
        <w:t>when asked whether or not they would increase or decrease their level of consumer spending compared to last year, the percent of consumers who expect to increase their spending rose to 3</w:t>
      </w:r>
      <w:r w:rsidR="00342C3E">
        <w:rPr>
          <w:rFonts w:asciiTheme="minorHAnsi" w:hAnsiTheme="minorHAnsi"/>
          <w:bCs/>
        </w:rPr>
        <w:t xml:space="preserve">5 from 31.  Further, the percent who expect to decrease their consumer spending dropped to 20 from 28.  This is good news for local businesses and retailers, especially as we look ahead to the ever important Christmas and Holiday shopping season.  </w:t>
      </w:r>
      <w:r w:rsidR="00342C3E">
        <w:rPr>
          <w:rFonts w:asciiTheme="minorHAnsi" w:hAnsiTheme="minorHAnsi"/>
          <w:bCs/>
        </w:rPr>
        <w:t xml:space="preserve"> </w:t>
      </w:r>
    </w:p>
    <w:p w:rsidR="00342C3E" w:rsidRDefault="00342C3E" w:rsidP="009821BD">
      <w:pPr>
        <w:pStyle w:val="BodyText"/>
        <w:jc w:val="both"/>
        <w:rPr>
          <w:rFonts w:asciiTheme="minorHAnsi" w:hAnsiTheme="minorHAnsi"/>
        </w:rPr>
      </w:pPr>
    </w:p>
    <w:p w:rsidR="00BC6850" w:rsidRDefault="00BC6850" w:rsidP="009821BD">
      <w:pPr>
        <w:pStyle w:val="BodyText"/>
        <w:jc w:val="both"/>
        <w:rPr>
          <w:rFonts w:asciiTheme="minorHAnsi" w:hAnsiTheme="minorHAnsi"/>
        </w:rPr>
      </w:pPr>
      <w:proofErr w:type="gramStart"/>
      <w:r w:rsidRPr="00BC6850">
        <w:rPr>
          <w:rFonts w:asciiTheme="minorHAnsi" w:hAnsiTheme="minorHAnsi"/>
          <w:b/>
          <w:i/>
        </w:rPr>
        <w:t>Consumer Savings.</w:t>
      </w:r>
      <w:proofErr w:type="gramEnd"/>
      <w:r>
        <w:rPr>
          <w:rFonts w:asciiTheme="minorHAnsi" w:hAnsiTheme="minorHAnsi"/>
        </w:rPr>
        <w:t xml:space="preserve">    The amount of consumer savings can also significantly affect consumers’ ability and willingness to spend money.  When asked about the amount of their income that they are currently saving compared to last year, only 22 percent reported saving more, and 28 percent reported saving less than they were saving last year.  However, 28 percent report that they plan to increase their level of saving in the next 12 months, whereas only 17 percent expect to decrease their level of saving in the next 12 months.  </w:t>
      </w:r>
    </w:p>
    <w:p w:rsidR="00173882" w:rsidRDefault="00173882" w:rsidP="00B661BD">
      <w:pPr>
        <w:pStyle w:val="BodyText"/>
        <w:jc w:val="both"/>
        <w:rPr>
          <w:rFonts w:asciiTheme="minorHAnsi" w:hAnsiTheme="minorHAnsi"/>
          <w:bCs/>
        </w:rPr>
      </w:pPr>
    </w:p>
    <w:p w:rsidR="00BA63C3" w:rsidRDefault="007F668D" w:rsidP="00B661BD">
      <w:pPr>
        <w:pStyle w:val="BodyText"/>
        <w:jc w:val="both"/>
        <w:rPr>
          <w:rFonts w:asciiTheme="minorHAnsi" w:hAnsiTheme="minorHAnsi"/>
          <w:bCs/>
        </w:rPr>
      </w:pPr>
      <w:r w:rsidRPr="007F668D">
        <w:rPr>
          <w:rFonts w:asciiTheme="minorHAnsi" w:hAnsiTheme="minorHAnsi"/>
          <w:b/>
          <w:bCs/>
          <w:i/>
        </w:rPr>
        <w:t>What Was on Consumers’ Minds?</w:t>
      </w:r>
      <w:r w:rsidR="00BA63C3">
        <w:rPr>
          <w:rFonts w:asciiTheme="minorHAnsi" w:hAnsiTheme="minorHAnsi"/>
          <w:bCs/>
        </w:rPr>
        <w:t xml:space="preserve">     Consumers were given an opportunity to offer a reason for why they rated the economy as they did.  Below is a word cloud that depicts the 25 most frequently mentioned words that appeared in these open-ended responses. </w:t>
      </w:r>
      <w:r w:rsidR="008A757A">
        <w:rPr>
          <w:rFonts w:asciiTheme="minorHAnsi" w:hAnsiTheme="minorHAnsi"/>
          <w:bCs/>
        </w:rPr>
        <w:t xml:space="preserve"> The larger the word, the more frequently it was mentioned.</w:t>
      </w:r>
      <w:r w:rsidR="00BA63C3">
        <w:rPr>
          <w:rFonts w:asciiTheme="minorHAnsi" w:hAnsiTheme="minorHAnsi"/>
          <w:bCs/>
        </w:rPr>
        <w:t xml:space="preserve"> </w:t>
      </w:r>
      <w:r w:rsidR="008A757A">
        <w:rPr>
          <w:rFonts w:asciiTheme="minorHAnsi" w:hAnsiTheme="minorHAnsi"/>
          <w:bCs/>
        </w:rPr>
        <w:t xml:space="preserve"> </w:t>
      </w:r>
      <w:r w:rsidR="00BA63C3">
        <w:rPr>
          <w:rFonts w:asciiTheme="minorHAnsi" w:hAnsiTheme="minorHAnsi"/>
          <w:bCs/>
        </w:rPr>
        <w:t xml:space="preserve">This can provide clues </w:t>
      </w:r>
      <w:r>
        <w:rPr>
          <w:rFonts w:asciiTheme="minorHAnsi" w:hAnsiTheme="minorHAnsi"/>
          <w:bCs/>
        </w:rPr>
        <w:t xml:space="preserve">about the thoughts </w:t>
      </w:r>
      <w:r w:rsidR="00BA63C3">
        <w:rPr>
          <w:rFonts w:asciiTheme="minorHAnsi" w:hAnsiTheme="minorHAnsi"/>
          <w:bCs/>
        </w:rPr>
        <w:t xml:space="preserve">that were on consumers’ minds as they responded to the survey.  </w:t>
      </w:r>
    </w:p>
    <w:p w:rsidR="001A63D0" w:rsidRDefault="001A63D0" w:rsidP="00B661BD">
      <w:pPr>
        <w:pStyle w:val="BodyText"/>
        <w:jc w:val="both"/>
        <w:rPr>
          <w:rFonts w:asciiTheme="minorHAnsi" w:hAnsiTheme="minorHAnsi"/>
          <w:bCs/>
        </w:rPr>
      </w:pPr>
    </w:p>
    <w:p w:rsidR="00173882" w:rsidRDefault="007E55A2" w:rsidP="007E55A2">
      <w:pPr>
        <w:pStyle w:val="BodyText"/>
        <w:jc w:val="center"/>
        <w:rPr>
          <w:rFonts w:asciiTheme="minorHAnsi" w:hAnsiTheme="minorHAnsi"/>
          <w:bCs/>
        </w:rPr>
      </w:pPr>
      <w:r>
        <w:rPr>
          <w:noProof/>
        </w:rPr>
        <w:drawing>
          <wp:inline distT="0" distB="0" distL="0" distR="0" wp14:anchorId="7A939EBF" wp14:editId="0C3E0C56">
            <wp:extent cx="5591618" cy="1962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BEBA8EAE-BF5A-486C-A8C5-ECC9F3942E4B}">
                          <a14:imgProps xmlns:a14="http://schemas.microsoft.com/office/drawing/2010/main">
                            <a14:imgLayer r:embed="rId12">
                              <a14:imgEffect>
                                <a14:brightnessContrast bright="-20000"/>
                              </a14:imgEffect>
                            </a14:imgLayer>
                          </a14:imgProps>
                        </a:ext>
                      </a:extLst>
                    </a:blip>
                    <a:srcRect l="13601" t="5817" r="28054" b="69798"/>
                    <a:stretch/>
                  </pic:blipFill>
                  <pic:spPr bwMode="auto">
                    <a:xfrm>
                      <a:off x="0" y="0"/>
                      <a:ext cx="5595867" cy="1963641"/>
                    </a:xfrm>
                    <a:prstGeom prst="rect">
                      <a:avLst/>
                    </a:prstGeom>
                    <a:ln>
                      <a:noFill/>
                    </a:ln>
                    <a:extLst>
                      <a:ext uri="{53640926-AAD7-44D8-BBD7-CCE9431645EC}">
                        <a14:shadowObscured xmlns:a14="http://schemas.microsoft.com/office/drawing/2010/main"/>
                      </a:ext>
                    </a:extLst>
                  </pic:spPr>
                </pic:pic>
              </a:graphicData>
            </a:graphic>
          </wp:inline>
        </w:drawing>
      </w:r>
    </w:p>
    <w:p w:rsidR="008B50C4" w:rsidRDefault="008B50C4" w:rsidP="00173882">
      <w:pPr>
        <w:pStyle w:val="BodyText"/>
        <w:jc w:val="center"/>
        <w:rPr>
          <w:rFonts w:asciiTheme="minorHAnsi" w:hAnsiTheme="minorHAnsi"/>
          <w:bCs/>
        </w:rPr>
      </w:pPr>
    </w:p>
    <w:p w:rsidR="00D161C8" w:rsidRDefault="00D161C8" w:rsidP="00D5151B">
      <w:pPr>
        <w:pStyle w:val="BodyText"/>
        <w:jc w:val="center"/>
        <w:rPr>
          <w:rFonts w:asciiTheme="minorHAnsi" w:hAnsiTheme="minorHAnsi"/>
          <w:bCs/>
        </w:rPr>
      </w:pPr>
    </w:p>
    <w:p w:rsidR="00D161C8" w:rsidRDefault="00D161C8" w:rsidP="00FC0884">
      <w:pPr>
        <w:pStyle w:val="BodyText"/>
        <w:jc w:val="both"/>
        <w:rPr>
          <w:rFonts w:asciiTheme="minorHAnsi" w:hAnsiTheme="minorHAnsi"/>
          <w:b/>
          <w:bCs/>
          <w:i/>
        </w:rPr>
      </w:pPr>
    </w:p>
    <w:p w:rsidR="001E06A1" w:rsidRDefault="00F736A9" w:rsidP="00967677">
      <w:pPr>
        <w:pStyle w:val="BodyText"/>
        <w:jc w:val="both"/>
        <w:rPr>
          <w:rFonts w:asciiTheme="minorHAnsi" w:hAnsiTheme="minorHAnsi"/>
          <w:b/>
          <w:bCs/>
          <w:u w:val="single"/>
        </w:rPr>
      </w:pPr>
      <w:r>
        <w:rPr>
          <w:rFonts w:asciiTheme="minorHAnsi" w:hAnsiTheme="minorHAnsi"/>
          <w:bCs/>
        </w:rPr>
        <w:t xml:space="preserve">     </w:t>
      </w:r>
      <w:r w:rsidR="00D63BD9">
        <w:rPr>
          <w:rFonts w:asciiTheme="minorHAnsi" w:hAnsiTheme="minorHAnsi"/>
          <w:bCs/>
        </w:rPr>
        <w:t xml:space="preserve">    </w:t>
      </w:r>
      <w:r w:rsidR="001E06A1">
        <w:rPr>
          <w:rFonts w:asciiTheme="minorHAnsi" w:hAnsiTheme="minorHAnsi"/>
          <w:b/>
          <w:bCs/>
          <w:noProof/>
          <w:u w:val="single"/>
        </w:rPr>
        <w:drawing>
          <wp:inline distT="0" distB="0" distL="0" distR="0" wp14:anchorId="005C4FFF" wp14:editId="7075A38E">
            <wp:extent cx="5143500" cy="42386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50C4" w:rsidRDefault="008B50C4" w:rsidP="00525FB0">
      <w:pPr>
        <w:pStyle w:val="BodyText"/>
        <w:jc w:val="both"/>
        <w:rPr>
          <w:rFonts w:asciiTheme="minorHAnsi" w:hAnsiTheme="minorHAnsi"/>
          <w:bCs/>
        </w:rPr>
      </w:pPr>
    </w:p>
    <w:p w:rsidR="008B50C4" w:rsidRDefault="008B50C4" w:rsidP="00525FB0">
      <w:pPr>
        <w:pStyle w:val="BodyText"/>
        <w:jc w:val="both"/>
        <w:rPr>
          <w:rFonts w:asciiTheme="minorHAnsi" w:hAnsiTheme="minorHAnsi"/>
          <w:bCs/>
        </w:rPr>
      </w:pPr>
    </w:p>
    <w:p w:rsidR="00525FB0" w:rsidRPr="00A16353" w:rsidRDefault="00525FB0" w:rsidP="00525FB0">
      <w:pPr>
        <w:pStyle w:val="BodyText"/>
        <w:jc w:val="both"/>
        <w:rPr>
          <w:rFonts w:asciiTheme="minorHAnsi" w:hAnsiTheme="minorHAnsi"/>
          <w:bCs/>
        </w:rPr>
      </w:pPr>
      <w:r w:rsidRPr="00A16353">
        <w:rPr>
          <w:rFonts w:asciiTheme="minorHAnsi" w:hAnsiTheme="minorHAnsi"/>
          <w:bCs/>
        </w:rPr>
        <w:t xml:space="preserve">     The </w:t>
      </w:r>
      <w:r w:rsidR="00A07B8D">
        <w:rPr>
          <w:rFonts w:asciiTheme="minorHAnsi" w:hAnsiTheme="minorHAnsi"/>
          <w:bCs/>
        </w:rPr>
        <w:t>consumer outlook index</w:t>
      </w:r>
      <w:r w:rsidRPr="00A16353">
        <w:rPr>
          <w:rFonts w:asciiTheme="minorHAnsi" w:hAnsiTheme="minorHAnsi"/>
          <w:bCs/>
        </w:rPr>
        <w:t xml:space="preserve"> scores are based on consumers’ responses to eleven questions measuring their perceptions of the current economy, the future economy, jobs, personal finances, and whether or not now is a good time to make large purchases.  Four questions make up the current situation index, four questions make up the future expectations index, and three questions make up the purchasing index.  The overall </w:t>
      </w:r>
      <w:r w:rsidR="00EC7C28">
        <w:rPr>
          <w:rFonts w:asciiTheme="minorHAnsi" w:hAnsiTheme="minorHAnsi"/>
          <w:bCs/>
        </w:rPr>
        <w:t xml:space="preserve">outlook </w:t>
      </w:r>
      <w:r w:rsidRPr="00A16353">
        <w:rPr>
          <w:rFonts w:asciiTheme="minorHAnsi" w:hAnsiTheme="minorHAnsi"/>
          <w:bCs/>
        </w:rPr>
        <w:t>index is based on all eleven questions combined</w:t>
      </w:r>
      <w:r>
        <w:rPr>
          <w:rFonts w:asciiTheme="minorHAnsi" w:hAnsiTheme="minorHAnsi"/>
          <w:bCs/>
        </w:rPr>
        <w:t xml:space="preserve"> (the complete questions are shown </w:t>
      </w:r>
      <w:r w:rsidR="00EC7C28">
        <w:rPr>
          <w:rFonts w:asciiTheme="minorHAnsi" w:hAnsiTheme="minorHAnsi"/>
          <w:bCs/>
        </w:rPr>
        <w:t xml:space="preserve">at the end of this </w:t>
      </w:r>
      <w:r>
        <w:rPr>
          <w:rFonts w:asciiTheme="minorHAnsi" w:hAnsiTheme="minorHAnsi"/>
          <w:bCs/>
        </w:rPr>
        <w:t>report)</w:t>
      </w:r>
      <w:r w:rsidRPr="00A16353">
        <w:rPr>
          <w:rFonts w:asciiTheme="minorHAnsi" w:hAnsiTheme="minorHAnsi"/>
          <w:bCs/>
        </w:rPr>
        <w:t>.</w:t>
      </w:r>
    </w:p>
    <w:p w:rsidR="00525FB0" w:rsidRPr="00A16353" w:rsidRDefault="00525FB0" w:rsidP="00525FB0">
      <w:pPr>
        <w:pStyle w:val="BodyText"/>
        <w:jc w:val="both"/>
        <w:rPr>
          <w:rFonts w:asciiTheme="minorHAnsi" w:hAnsiTheme="minorHAnsi"/>
          <w:bCs/>
        </w:rPr>
      </w:pPr>
      <w:r>
        <w:rPr>
          <w:rFonts w:asciiTheme="minorHAnsi" w:hAnsiTheme="minorHAnsi"/>
          <w:bCs/>
        </w:rPr>
        <w:t xml:space="preserve">  </w:t>
      </w:r>
    </w:p>
    <w:p w:rsidR="00525FB0" w:rsidRPr="00A16353" w:rsidRDefault="00525FB0" w:rsidP="00525FB0">
      <w:pPr>
        <w:pStyle w:val="BodyText"/>
        <w:jc w:val="both"/>
        <w:rPr>
          <w:rFonts w:asciiTheme="minorHAnsi" w:hAnsiTheme="minorHAnsi"/>
          <w:bCs/>
        </w:rPr>
      </w:pPr>
      <w:r w:rsidRPr="00A16353">
        <w:rPr>
          <w:rFonts w:asciiTheme="minorHAnsi" w:hAnsiTheme="minorHAnsi"/>
          <w:bCs/>
        </w:rPr>
        <w:t xml:space="preserve">     The scores for each index are computed by </w:t>
      </w:r>
      <w:r w:rsidRPr="00A16353">
        <w:rPr>
          <w:rFonts w:asciiTheme="minorHAnsi" w:hAnsiTheme="minorHAnsi"/>
        </w:rPr>
        <w:t xml:space="preserve">adding the percentage of favorable responses to each question and subtracting the percentage of negative responses to each question.  </w:t>
      </w:r>
      <w:r w:rsidRPr="00A16353">
        <w:rPr>
          <w:rFonts w:asciiTheme="minorHAnsi" w:hAnsiTheme="minorHAnsi"/>
          <w:bCs/>
        </w:rPr>
        <w:t xml:space="preserve">A </w:t>
      </w:r>
      <w:r>
        <w:rPr>
          <w:rFonts w:asciiTheme="minorHAnsi" w:hAnsiTheme="minorHAnsi"/>
          <w:bCs/>
        </w:rPr>
        <w:t xml:space="preserve">net </w:t>
      </w:r>
      <w:r w:rsidRPr="00A16353">
        <w:rPr>
          <w:rFonts w:asciiTheme="minorHAnsi" w:hAnsiTheme="minorHAnsi"/>
          <w:bCs/>
        </w:rPr>
        <w:t>score of zero would indicate that the percentage of consumers who hold negative views of the economy is equal to the percentage of consumers who hold positive views of the economy.  A</w:t>
      </w:r>
      <w:r>
        <w:rPr>
          <w:rFonts w:asciiTheme="minorHAnsi" w:hAnsiTheme="minorHAnsi"/>
          <w:bCs/>
        </w:rPr>
        <w:t xml:space="preserve"> net </w:t>
      </w:r>
      <w:r w:rsidRPr="00A16353">
        <w:rPr>
          <w:rFonts w:asciiTheme="minorHAnsi" w:hAnsiTheme="minorHAnsi"/>
          <w:bCs/>
        </w:rPr>
        <w:t xml:space="preserve">positive score would indicate that consumers who hold positive views of the economy outnumber those who hold negative views of the economy. </w:t>
      </w:r>
    </w:p>
    <w:p w:rsidR="00A67796" w:rsidRDefault="00A67796" w:rsidP="002B3426">
      <w:pPr>
        <w:pStyle w:val="BodyText"/>
        <w:jc w:val="both"/>
        <w:rPr>
          <w:rFonts w:asciiTheme="minorHAnsi" w:hAnsiTheme="minorHAnsi"/>
          <w:bCs/>
        </w:rPr>
      </w:pPr>
    </w:p>
    <w:p w:rsidR="00481431" w:rsidRPr="00546A3A" w:rsidRDefault="00481431" w:rsidP="00481431">
      <w:pPr>
        <w:rPr>
          <w:rFonts w:asciiTheme="minorHAnsi" w:hAnsiTheme="minorHAnsi"/>
          <w:bCs/>
          <w:sz w:val="28"/>
          <w:szCs w:val="28"/>
        </w:rPr>
      </w:pPr>
      <w:r>
        <w:rPr>
          <w:rFonts w:asciiTheme="minorHAnsi" w:hAnsiTheme="minorHAnsi"/>
          <w:bCs/>
        </w:rPr>
        <w:br w:type="column"/>
      </w:r>
      <w:r w:rsidRPr="00546A3A">
        <w:rPr>
          <w:rFonts w:asciiTheme="minorHAnsi" w:hAnsiTheme="minorHAnsi"/>
          <w:b/>
          <w:bCs/>
          <w:sz w:val="28"/>
          <w:szCs w:val="28"/>
          <w:u w:val="single"/>
        </w:rPr>
        <w:lastRenderedPageBreak/>
        <w:t>Changes in Consumers’ Perceptions of the Economy</w:t>
      </w:r>
    </w:p>
    <w:p w:rsidR="00481431" w:rsidRPr="00A16353" w:rsidRDefault="00481431" w:rsidP="00481431">
      <w:pPr>
        <w:rPr>
          <w:rFonts w:asciiTheme="minorHAnsi" w:hAnsiTheme="minorHAnsi"/>
          <w:b/>
          <w:bCs/>
          <w:sz w:val="24"/>
          <w:u w:val="single"/>
        </w:rPr>
      </w:pPr>
    </w:p>
    <w:p w:rsidR="00481431" w:rsidRPr="00A16353" w:rsidRDefault="00481431" w:rsidP="00481431">
      <w:pPr>
        <w:rPr>
          <w:rFonts w:asciiTheme="minorHAnsi" w:hAnsiTheme="minorHAnsi"/>
          <w:bCs/>
          <w:sz w:val="24"/>
        </w:rPr>
      </w:pPr>
      <w:r w:rsidRPr="00A16353">
        <w:rPr>
          <w:rFonts w:asciiTheme="minorHAnsi" w:hAnsiTheme="minorHAnsi"/>
          <w:bCs/>
          <w:sz w:val="24"/>
        </w:rPr>
        <w:t xml:space="preserve">     The table below shows how consumers’ responses to selected survey questions have changed since </w:t>
      </w:r>
      <w:r w:rsidR="00985C05">
        <w:rPr>
          <w:rFonts w:asciiTheme="minorHAnsi" w:hAnsiTheme="minorHAnsi"/>
          <w:bCs/>
          <w:sz w:val="24"/>
        </w:rPr>
        <w:t>April</w:t>
      </w:r>
      <w:r w:rsidR="004C6631">
        <w:rPr>
          <w:rFonts w:asciiTheme="minorHAnsi" w:hAnsiTheme="minorHAnsi"/>
          <w:bCs/>
          <w:sz w:val="24"/>
        </w:rPr>
        <w:t>,</w:t>
      </w:r>
      <w:r w:rsidR="009173C5">
        <w:rPr>
          <w:rFonts w:asciiTheme="minorHAnsi" w:hAnsiTheme="minorHAnsi"/>
          <w:bCs/>
          <w:sz w:val="24"/>
        </w:rPr>
        <w:t xml:space="preserve"> </w:t>
      </w:r>
      <w:r>
        <w:rPr>
          <w:rFonts w:asciiTheme="minorHAnsi" w:hAnsiTheme="minorHAnsi"/>
          <w:bCs/>
          <w:sz w:val="24"/>
        </w:rPr>
        <w:t>201</w:t>
      </w:r>
      <w:r w:rsidR="0082033A">
        <w:rPr>
          <w:rFonts w:asciiTheme="minorHAnsi" w:hAnsiTheme="minorHAnsi"/>
          <w:bCs/>
          <w:sz w:val="24"/>
        </w:rPr>
        <w:t>3</w:t>
      </w:r>
      <w:r w:rsidRPr="00A16353">
        <w:rPr>
          <w:rFonts w:asciiTheme="minorHAnsi" w:hAnsiTheme="minorHAnsi"/>
          <w:bCs/>
          <w:sz w:val="24"/>
        </w:rPr>
        <w:t>.</w:t>
      </w:r>
    </w:p>
    <w:p w:rsidR="00481431" w:rsidRPr="00A16353" w:rsidRDefault="00481431" w:rsidP="00481431">
      <w:pPr>
        <w:rPr>
          <w:rFonts w:asciiTheme="minorHAnsi" w:hAnsiTheme="minorHAnsi"/>
          <w:bCs/>
          <w:sz w:val="24"/>
        </w:rPr>
      </w:pPr>
    </w:p>
    <w:tbl>
      <w:tblPr>
        <w:tblStyle w:val="MediumShading1-Accent1"/>
        <w:tblW w:w="0" w:type="auto"/>
        <w:tblLayout w:type="fixed"/>
        <w:tblLook w:val="04A0" w:firstRow="1" w:lastRow="0" w:firstColumn="1" w:lastColumn="0" w:noHBand="0" w:noVBand="1"/>
      </w:tblPr>
      <w:tblGrid>
        <w:gridCol w:w="5958"/>
        <w:gridCol w:w="1350"/>
        <w:gridCol w:w="1548"/>
      </w:tblGrid>
      <w:tr w:rsidR="00481431" w:rsidRPr="00A16353" w:rsidTr="00C25C9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958" w:type="dxa"/>
          </w:tcPr>
          <w:p w:rsidR="00481431" w:rsidRPr="00481431" w:rsidRDefault="00481431" w:rsidP="001A1A56">
            <w:pPr>
              <w:jc w:val="center"/>
              <w:rPr>
                <w:rFonts w:asciiTheme="minorHAnsi" w:hAnsiTheme="minorHAnsi"/>
                <w:b w:val="0"/>
                <w:sz w:val="16"/>
                <w:szCs w:val="16"/>
              </w:rPr>
            </w:pPr>
          </w:p>
        </w:tc>
        <w:tc>
          <w:tcPr>
            <w:tcW w:w="1350" w:type="dxa"/>
          </w:tcPr>
          <w:p w:rsidR="0082033A" w:rsidRDefault="00985C05"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September</w:t>
            </w:r>
            <w:r w:rsidR="00BB1BA0">
              <w:rPr>
                <w:rFonts w:asciiTheme="minorHAnsi" w:hAnsiTheme="minorHAnsi"/>
                <w:sz w:val="24"/>
                <w:szCs w:val="24"/>
              </w:rPr>
              <w:t xml:space="preserve"> </w:t>
            </w:r>
          </w:p>
          <w:p w:rsidR="00481431" w:rsidRPr="008D70F0" w:rsidRDefault="002C5F55"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 </w:t>
            </w:r>
            <w:r w:rsidR="00481431" w:rsidRPr="008D70F0">
              <w:rPr>
                <w:rFonts w:asciiTheme="minorHAnsi" w:hAnsiTheme="minorHAnsi"/>
                <w:sz w:val="24"/>
                <w:szCs w:val="24"/>
              </w:rPr>
              <w:t>201</w:t>
            </w:r>
            <w:r w:rsidR="00BB1BA0">
              <w:rPr>
                <w:rFonts w:asciiTheme="minorHAnsi" w:hAnsiTheme="minorHAnsi"/>
                <w:sz w:val="24"/>
                <w:szCs w:val="24"/>
              </w:rPr>
              <w:t>3</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w:t>
            </w:r>
          </w:p>
        </w:tc>
        <w:tc>
          <w:tcPr>
            <w:tcW w:w="1548" w:type="dxa"/>
          </w:tcPr>
          <w:p w:rsidR="00481431" w:rsidRPr="008D70F0" w:rsidRDefault="00481431" w:rsidP="00985C0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 xml:space="preserve">Change from </w:t>
            </w:r>
            <w:r w:rsidRPr="008D70F0">
              <w:rPr>
                <w:rFonts w:asciiTheme="minorHAnsi" w:hAnsiTheme="minorHAnsi"/>
                <w:sz w:val="24"/>
                <w:szCs w:val="24"/>
              </w:rPr>
              <w:br/>
            </w:r>
            <w:r w:rsidR="00985C05">
              <w:rPr>
                <w:rFonts w:asciiTheme="minorHAnsi" w:hAnsiTheme="minorHAnsi"/>
                <w:sz w:val="24"/>
                <w:szCs w:val="24"/>
              </w:rPr>
              <w:t xml:space="preserve">April </w:t>
            </w:r>
            <w:r w:rsidRPr="008D70F0">
              <w:rPr>
                <w:rFonts w:asciiTheme="minorHAnsi" w:hAnsiTheme="minorHAnsi"/>
                <w:sz w:val="24"/>
                <w:szCs w:val="24"/>
              </w:rPr>
              <w:t>201</w:t>
            </w:r>
            <w:r w:rsidR="0082033A">
              <w:rPr>
                <w:rFonts w:asciiTheme="minorHAnsi" w:hAnsiTheme="minorHAnsi"/>
                <w:sz w:val="24"/>
                <w:szCs w:val="24"/>
              </w:rPr>
              <w:t>3</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Business conditions in the U.S. are </w:t>
            </w:r>
            <w:r w:rsidRPr="00C25C98">
              <w:rPr>
                <w:rFonts w:asciiTheme="minorHAnsi" w:hAnsiTheme="minorHAnsi"/>
                <w:sz w:val="22"/>
                <w:szCs w:val="22"/>
                <w:u w:val="single"/>
              </w:rPr>
              <w:t>Good</w:t>
            </w:r>
            <w:r w:rsidRPr="00C25C98">
              <w:rPr>
                <w:rFonts w:asciiTheme="minorHAnsi" w:hAnsiTheme="minorHAnsi"/>
                <w:sz w:val="22"/>
                <w:szCs w:val="22"/>
              </w:rPr>
              <w:t>.</w:t>
            </w:r>
          </w:p>
        </w:tc>
        <w:tc>
          <w:tcPr>
            <w:tcW w:w="1350" w:type="dxa"/>
            <w:vAlign w:val="center"/>
          </w:tcPr>
          <w:p w:rsidR="00481431" w:rsidRPr="00481431" w:rsidRDefault="00C25C9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14</w:t>
            </w:r>
          </w:p>
        </w:tc>
        <w:tc>
          <w:tcPr>
            <w:tcW w:w="1548" w:type="dxa"/>
            <w:vAlign w:val="center"/>
          </w:tcPr>
          <w:p w:rsidR="00481431" w:rsidRPr="00481431" w:rsidRDefault="00C25C98" w:rsidP="00BB1BA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75488" behindDoc="0" locked="0" layoutInCell="1" allowOverlap="1" wp14:anchorId="52B8A6F9" wp14:editId="10EA7377">
                      <wp:simplePos x="0" y="0"/>
                      <wp:positionH relativeFrom="column">
                        <wp:posOffset>307975</wp:posOffset>
                      </wp:positionH>
                      <wp:positionV relativeFrom="paragraph">
                        <wp:posOffset>-43180</wp:posOffset>
                      </wp:positionV>
                      <wp:extent cx="178435" cy="281305"/>
                      <wp:effectExtent l="0" t="0" r="0" b="4445"/>
                      <wp:wrapNone/>
                      <wp:docPr id="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26" type="#_x0000_t68" style="position:absolute;margin-left:24.25pt;margin-top:-3.4pt;width:14.05pt;height:22.1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ktLQIAAEk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" fillcolor="#00b050" stroked="f"/>
                  </w:pict>
                </mc:Fallback>
              </mc:AlternateContent>
            </w:r>
            <w:r w:rsidR="00AF02C6">
              <w:rPr>
                <w:rFonts w:asciiTheme="minorHAnsi" w:hAnsiTheme="minorHAnsi"/>
                <w:b/>
                <w:sz w:val="24"/>
                <w:szCs w:val="24"/>
              </w:rPr>
              <w:t>1%</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business conditions in the U.S. will be </w:t>
            </w:r>
            <w:r w:rsidRPr="00C25C98">
              <w:rPr>
                <w:rFonts w:asciiTheme="minorHAnsi" w:hAnsiTheme="minorHAnsi"/>
                <w:sz w:val="22"/>
                <w:szCs w:val="22"/>
                <w:u w:val="single"/>
              </w:rPr>
              <w:t>Better</w:t>
            </w:r>
            <w:r w:rsidRPr="00C25C98">
              <w:rPr>
                <w:rFonts w:asciiTheme="minorHAnsi" w:hAnsiTheme="minorHAnsi"/>
                <w:sz w:val="22"/>
                <w:szCs w:val="22"/>
              </w:rPr>
              <w:t>.</w:t>
            </w:r>
          </w:p>
        </w:tc>
        <w:tc>
          <w:tcPr>
            <w:tcW w:w="1350" w:type="dxa"/>
            <w:vAlign w:val="center"/>
          </w:tcPr>
          <w:p w:rsidR="00481431" w:rsidRPr="00481431" w:rsidRDefault="00C25C9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30</w:t>
            </w:r>
          </w:p>
        </w:tc>
        <w:tc>
          <w:tcPr>
            <w:tcW w:w="1548" w:type="dxa"/>
            <w:vAlign w:val="center"/>
          </w:tcPr>
          <w:p w:rsidR="00481431" w:rsidRPr="00481431" w:rsidRDefault="00BB1BA0" w:rsidP="00C25C98">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50912" behindDoc="0" locked="0" layoutInCell="1" allowOverlap="1" wp14:anchorId="0BF9B396" wp14:editId="056B3F29">
                      <wp:simplePos x="0" y="0"/>
                      <wp:positionH relativeFrom="column">
                        <wp:posOffset>290195</wp:posOffset>
                      </wp:positionH>
                      <wp:positionV relativeFrom="paragraph">
                        <wp:posOffset>-40005</wp:posOffset>
                      </wp:positionV>
                      <wp:extent cx="190500" cy="281305"/>
                      <wp:effectExtent l="0" t="0" r="0" b="4445"/>
                      <wp:wrapNone/>
                      <wp:docPr id="1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margin-left:22.85pt;margin-top:-3.15pt;width:15pt;height:22.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" fillcolor="#c00000" stroked="f" strokecolor="#f2f2f2" strokeweight="3pt">
                      <v:fill color2="#730000" angle="90" focus="100%" type="gradient"/>
                      <v:shadow color="#622423" opacity=".5" offset="1pt"/>
                    </v:shape>
                  </w:pict>
                </mc:Fallback>
              </mc:AlternateContent>
            </w:r>
            <w:r w:rsidR="00C25C98">
              <w:rPr>
                <w:rFonts w:asciiTheme="minorHAnsi" w:hAnsiTheme="minorHAnsi"/>
                <w:b/>
                <w:sz w:val="24"/>
                <w:szCs w:val="24"/>
              </w:rPr>
              <w:t>3</w:t>
            </w:r>
            <w:r>
              <w:rPr>
                <w:rFonts w:asciiTheme="minorHAnsi" w:hAnsiTheme="minorHAnsi"/>
                <w:b/>
                <w:sz w:val="24"/>
                <w:szCs w:val="24"/>
              </w:rPr>
              <w:t xml:space="preserve">% </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Business conditions in Middle Tennessee are </w:t>
            </w:r>
            <w:r w:rsidRPr="00C25C98">
              <w:rPr>
                <w:rFonts w:asciiTheme="minorHAnsi" w:hAnsiTheme="minorHAnsi"/>
                <w:sz w:val="22"/>
                <w:szCs w:val="22"/>
                <w:u w:val="single"/>
              </w:rPr>
              <w:t>Good</w:t>
            </w:r>
            <w:r w:rsidRPr="00C25C98">
              <w:rPr>
                <w:rFonts w:asciiTheme="minorHAnsi" w:hAnsiTheme="minorHAnsi"/>
                <w:sz w:val="22"/>
                <w:szCs w:val="22"/>
              </w:rPr>
              <w:t>.</w:t>
            </w:r>
          </w:p>
        </w:tc>
        <w:tc>
          <w:tcPr>
            <w:tcW w:w="1350" w:type="dxa"/>
            <w:vAlign w:val="center"/>
          </w:tcPr>
          <w:p w:rsidR="00481431" w:rsidRPr="00481431" w:rsidRDefault="00C25C98" w:rsidP="006C47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49</w:t>
            </w:r>
          </w:p>
        </w:tc>
        <w:tc>
          <w:tcPr>
            <w:tcW w:w="1548" w:type="dxa"/>
            <w:vAlign w:val="center"/>
          </w:tcPr>
          <w:p w:rsidR="00481431" w:rsidRPr="00481431" w:rsidRDefault="00BB1BA0" w:rsidP="00C25C9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52960" behindDoc="0" locked="0" layoutInCell="1" allowOverlap="1" wp14:anchorId="79AC13C3" wp14:editId="597F19AC">
                      <wp:simplePos x="0" y="0"/>
                      <wp:positionH relativeFrom="column">
                        <wp:posOffset>295910</wp:posOffset>
                      </wp:positionH>
                      <wp:positionV relativeFrom="paragraph">
                        <wp:posOffset>-55245</wp:posOffset>
                      </wp:positionV>
                      <wp:extent cx="178435" cy="281305"/>
                      <wp:effectExtent l="0" t="0" r="0" b="4445"/>
                      <wp:wrapNone/>
                      <wp:docPr id="1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26" type="#_x0000_t68" style="position:absolute;margin-left:23.3pt;margin-top:-4.35pt;width:14.05pt;height:22.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OtLg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" fillcolor="#00b050" stroked="f"/>
                  </w:pict>
                </mc:Fallback>
              </mc:AlternateContent>
            </w:r>
            <w:r w:rsidR="00C25C98">
              <w:rPr>
                <w:rFonts w:asciiTheme="minorHAnsi" w:hAnsiTheme="minorHAnsi"/>
                <w:b/>
                <w:sz w:val="24"/>
                <w:szCs w:val="24"/>
              </w:rPr>
              <w:t>5</w:t>
            </w:r>
            <w:r w:rsidR="00481431" w:rsidRPr="00481431">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business conditions in Middle Tennessee will be </w:t>
            </w:r>
            <w:r w:rsidRPr="00C25C98">
              <w:rPr>
                <w:rFonts w:asciiTheme="minorHAnsi" w:hAnsiTheme="minorHAnsi"/>
                <w:sz w:val="22"/>
                <w:szCs w:val="22"/>
                <w:u w:val="single"/>
              </w:rPr>
              <w:t>Better</w:t>
            </w:r>
            <w:r w:rsidRPr="00C25C98">
              <w:rPr>
                <w:rFonts w:asciiTheme="minorHAnsi" w:hAnsiTheme="minorHAnsi"/>
                <w:sz w:val="22"/>
                <w:szCs w:val="22"/>
              </w:rPr>
              <w:t>.</w:t>
            </w:r>
          </w:p>
        </w:tc>
        <w:tc>
          <w:tcPr>
            <w:tcW w:w="1350" w:type="dxa"/>
            <w:vAlign w:val="center"/>
          </w:tcPr>
          <w:p w:rsidR="00481431" w:rsidRPr="00481431" w:rsidRDefault="00C25C9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37</w:t>
            </w:r>
          </w:p>
        </w:tc>
        <w:tc>
          <w:tcPr>
            <w:tcW w:w="1548" w:type="dxa"/>
            <w:vAlign w:val="center"/>
          </w:tcPr>
          <w:p w:rsidR="00481431" w:rsidRPr="00481431" w:rsidRDefault="00C25C98" w:rsidP="00C25C98">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77536" behindDoc="0" locked="0" layoutInCell="1" allowOverlap="1" wp14:anchorId="1C1D5C04" wp14:editId="2D5FB615">
                      <wp:simplePos x="0" y="0"/>
                      <wp:positionH relativeFrom="column">
                        <wp:posOffset>278130</wp:posOffset>
                      </wp:positionH>
                      <wp:positionV relativeFrom="paragraph">
                        <wp:posOffset>-73025</wp:posOffset>
                      </wp:positionV>
                      <wp:extent cx="190500" cy="281305"/>
                      <wp:effectExtent l="0" t="0" r="0" b="4445"/>
                      <wp:wrapNone/>
                      <wp:docPr id="1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margin-left:21.9pt;margin-top:-5.75pt;width:15pt;height:22.1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yqbg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2</w:t>
            </w:r>
            <w:r w:rsidR="00AF02C6">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Jobs in Middle Tennessee are </w:t>
            </w:r>
            <w:r w:rsidRPr="00C25C98">
              <w:rPr>
                <w:rFonts w:asciiTheme="minorHAnsi" w:hAnsiTheme="minorHAnsi"/>
                <w:sz w:val="22"/>
                <w:szCs w:val="22"/>
                <w:u w:val="single"/>
              </w:rPr>
              <w:t>Easy To Find</w:t>
            </w:r>
            <w:r w:rsidRPr="00C25C98">
              <w:rPr>
                <w:rFonts w:asciiTheme="minorHAnsi" w:hAnsiTheme="minorHAnsi"/>
                <w:sz w:val="22"/>
                <w:szCs w:val="22"/>
              </w:rPr>
              <w:t>.</w:t>
            </w:r>
          </w:p>
        </w:tc>
        <w:tc>
          <w:tcPr>
            <w:tcW w:w="1350" w:type="dxa"/>
            <w:vAlign w:val="center"/>
          </w:tcPr>
          <w:p w:rsidR="00481431" w:rsidRPr="00481431" w:rsidRDefault="00C25C9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8</w:t>
            </w:r>
          </w:p>
        </w:tc>
        <w:tc>
          <w:tcPr>
            <w:tcW w:w="1548" w:type="dxa"/>
            <w:vAlign w:val="center"/>
          </w:tcPr>
          <w:p w:rsidR="00481431" w:rsidRPr="00481431" w:rsidRDefault="00C25C98" w:rsidP="00C25C9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No Change</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there will be </w:t>
            </w:r>
            <w:r w:rsidRPr="00C25C98">
              <w:rPr>
                <w:rFonts w:asciiTheme="minorHAnsi" w:hAnsiTheme="minorHAnsi"/>
                <w:sz w:val="22"/>
                <w:szCs w:val="22"/>
                <w:u w:val="single"/>
              </w:rPr>
              <w:t>More Job Openings</w:t>
            </w:r>
            <w:r w:rsidRPr="00C25C98">
              <w:rPr>
                <w:rFonts w:asciiTheme="minorHAnsi" w:hAnsiTheme="minorHAnsi"/>
                <w:sz w:val="22"/>
                <w:szCs w:val="22"/>
              </w:rPr>
              <w:t xml:space="preserve"> in Middle Tennessee</w:t>
            </w:r>
          </w:p>
        </w:tc>
        <w:tc>
          <w:tcPr>
            <w:tcW w:w="1350" w:type="dxa"/>
            <w:vAlign w:val="center"/>
          </w:tcPr>
          <w:p w:rsidR="00481431" w:rsidRPr="00481431" w:rsidRDefault="00C25C9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40</w:t>
            </w:r>
          </w:p>
        </w:tc>
        <w:tc>
          <w:tcPr>
            <w:tcW w:w="1548" w:type="dxa"/>
            <w:vAlign w:val="center"/>
          </w:tcPr>
          <w:p w:rsidR="00481431" w:rsidRPr="00481431" w:rsidRDefault="00BB1BA0"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55008" behindDoc="0" locked="0" layoutInCell="1" allowOverlap="1" wp14:anchorId="4E13C5C4" wp14:editId="6796DFEB">
                      <wp:simplePos x="0" y="0"/>
                      <wp:positionH relativeFrom="column">
                        <wp:posOffset>334010</wp:posOffset>
                      </wp:positionH>
                      <wp:positionV relativeFrom="paragraph">
                        <wp:posOffset>112395</wp:posOffset>
                      </wp:positionV>
                      <wp:extent cx="178435" cy="281305"/>
                      <wp:effectExtent l="0" t="0" r="0" b="4445"/>
                      <wp:wrapNone/>
                      <wp:docPr id="1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6.3pt;margin-top:8.85pt;width:14.05pt;height:22.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" fillcolor="#00b050" stroked="f"/>
                  </w:pict>
                </mc:Fallback>
              </mc:AlternateConten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 xml:space="preserve">  </w:t>
            </w:r>
            <w:r w:rsidR="00C25C98">
              <w:rPr>
                <w:rFonts w:asciiTheme="minorHAnsi" w:hAnsiTheme="minorHAnsi"/>
                <w:b/>
                <w:sz w:val="24"/>
                <w:szCs w:val="24"/>
              </w:rPr>
              <w:t>1</w:t>
            </w:r>
            <w:r w:rsidRPr="00481431">
              <w:rPr>
                <w:rFonts w:asciiTheme="minorHAnsi" w:hAnsiTheme="minorHAnsi"/>
                <w:b/>
                <w:sz w:val="24"/>
                <w:szCs w:val="24"/>
              </w:rPr>
              <w:t>%</w: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I am </w:t>
            </w:r>
            <w:r w:rsidRPr="00C25C98">
              <w:rPr>
                <w:rFonts w:asciiTheme="minorHAnsi" w:hAnsiTheme="minorHAnsi"/>
                <w:sz w:val="22"/>
                <w:szCs w:val="22"/>
                <w:u w:val="single"/>
              </w:rPr>
              <w:t>Better Off Financially</w:t>
            </w:r>
            <w:r w:rsidRPr="00C25C98">
              <w:rPr>
                <w:rFonts w:asciiTheme="minorHAnsi" w:hAnsiTheme="minorHAnsi"/>
                <w:sz w:val="22"/>
                <w:szCs w:val="22"/>
              </w:rPr>
              <w:t xml:space="preserve"> than I was one year ago.</w:t>
            </w:r>
          </w:p>
        </w:tc>
        <w:tc>
          <w:tcPr>
            <w:tcW w:w="1350" w:type="dxa"/>
            <w:vAlign w:val="center"/>
          </w:tcPr>
          <w:p w:rsidR="00481431" w:rsidRPr="00481431" w:rsidRDefault="00C25C9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24</w:t>
            </w:r>
          </w:p>
        </w:tc>
        <w:tc>
          <w:tcPr>
            <w:tcW w:w="1548" w:type="dxa"/>
            <w:vAlign w:val="center"/>
          </w:tcPr>
          <w:p w:rsidR="00481431" w:rsidRPr="00481431" w:rsidRDefault="00C25C98" w:rsidP="00AF02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No Change</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12 months from now I will be </w:t>
            </w:r>
            <w:r w:rsidRPr="00C25C98">
              <w:rPr>
                <w:rFonts w:asciiTheme="minorHAnsi" w:hAnsiTheme="minorHAnsi"/>
                <w:sz w:val="22"/>
                <w:szCs w:val="22"/>
                <w:u w:val="single"/>
              </w:rPr>
              <w:t>Better Off Financially</w:t>
            </w:r>
            <w:r w:rsidRPr="00C25C98">
              <w:rPr>
                <w:rFonts w:asciiTheme="minorHAnsi" w:hAnsiTheme="minorHAnsi"/>
                <w:sz w:val="22"/>
                <w:szCs w:val="22"/>
              </w:rPr>
              <w:t xml:space="preserve"> than I am today.</w:t>
            </w:r>
          </w:p>
        </w:tc>
        <w:tc>
          <w:tcPr>
            <w:tcW w:w="1350" w:type="dxa"/>
            <w:vAlign w:val="center"/>
          </w:tcPr>
          <w:p w:rsidR="00481431" w:rsidRPr="00481431" w:rsidRDefault="00C25C9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35</w:t>
            </w:r>
          </w:p>
        </w:tc>
        <w:tc>
          <w:tcPr>
            <w:tcW w:w="1548" w:type="dxa"/>
            <w:vAlign w:val="center"/>
          </w:tcPr>
          <w:p w:rsidR="00481431" w:rsidRPr="00481431" w:rsidRDefault="00C25C98" w:rsidP="00C25C98">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79584" behindDoc="0" locked="0" layoutInCell="1" allowOverlap="1" wp14:anchorId="61C7761B" wp14:editId="3C0ACCF0">
                      <wp:simplePos x="0" y="0"/>
                      <wp:positionH relativeFrom="column">
                        <wp:posOffset>304165</wp:posOffset>
                      </wp:positionH>
                      <wp:positionV relativeFrom="paragraph">
                        <wp:posOffset>-76200</wp:posOffset>
                      </wp:positionV>
                      <wp:extent cx="190500" cy="281305"/>
                      <wp:effectExtent l="0" t="0" r="0" b="4445"/>
                      <wp:wrapNone/>
                      <wp:docPr id="2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3.95pt;margin-top:-6pt;width:15pt;height:22.1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510bw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2</w:t>
            </w:r>
            <w:r w:rsidR="00481431" w:rsidRPr="00481431">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Make Large Purchases</w:t>
            </w:r>
            <w:r w:rsidRPr="00C25C98">
              <w:rPr>
                <w:rFonts w:asciiTheme="minorHAnsi" w:hAnsiTheme="minorHAnsi"/>
                <w:sz w:val="22"/>
                <w:szCs w:val="22"/>
              </w:rPr>
              <w:t>.</w:t>
            </w:r>
          </w:p>
        </w:tc>
        <w:tc>
          <w:tcPr>
            <w:tcW w:w="1350" w:type="dxa"/>
            <w:vAlign w:val="center"/>
          </w:tcPr>
          <w:p w:rsidR="00481431" w:rsidRPr="00481431" w:rsidRDefault="00C25C9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29</w:t>
            </w:r>
          </w:p>
        </w:tc>
        <w:tc>
          <w:tcPr>
            <w:tcW w:w="1548" w:type="dxa"/>
            <w:vAlign w:val="center"/>
          </w:tcPr>
          <w:p w:rsidR="00481431" w:rsidRPr="00481431" w:rsidRDefault="00C25C98" w:rsidP="00C25C9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81632" behindDoc="0" locked="0" layoutInCell="1" allowOverlap="1" wp14:anchorId="0D5D6616" wp14:editId="5322169C">
                      <wp:simplePos x="0" y="0"/>
                      <wp:positionH relativeFrom="column">
                        <wp:posOffset>316230</wp:posOffset>
                      </wp:positionH>
                      <wp:positionV relativeFrom="paragraph">
                        <wp:posOffset>-66675</wp:posOffset>
                      </wp:positionV>
                      <wp:extent cx="190500" cy="281305"/>
                      <wp:effectExtent l="0" t="0" r="0" b="4445"/>
                      <wp:wrapNone/>
                      <wp:docPr id="2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4.9pt;margin-top:-5.25pt;width:15pt;height:22.1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1</w:t>
            </w:r>
            <w:r w:rsidR="006C4756">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Buy A Home</w:t>
            </w:r>
            <w:r w:rsidRPr="00C25C98">
              <w:rPr>
                <w:rFonts w:asciiTheme="minorHAnsi" w:hAnsiTheme="minorHAnsi"/>
                <w:sz w:val="22"/>
                <w:szCs w:val="22"/>
              </w:rPr>
              <w:t>.</w:t>
            </w:r>
          </w:p>
        </w:tc>
        <w:tc>
          <w:tcPr>
            <w:tcW w:w="1350" w:type="dxa"/>
            <w:vAlign w:val="center"/>
          </w:tcPr>
          <w:p w:rsidR="00481431" w:rsidRPr="00481431" w:rsidRDefault="00C25C9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65</w:t>
            </w:r>
          </w:p>
        </w:tc>
        <w:tc>
          <w:tcPr>
            <w:tcW w:w="1548" w:type="dxa"/>
            <w:vAlign w:val="center"/>
          </w:tcPr>
          <w:p w:rsidR="00481431" w:rsidRPr="00481431" w:rsidRDefault="00C25C98" w:rsidP="00C25C98">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No Change</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Buy A Car</w:t>
            </w:r>
            <w:r w:rsidRPr="00C25C98">
              <w:rPr>
                <w:rFonts w:asciiTheme="minorHAnsi" w:hAnsiTheme="minorHAnsi"/>
                <w:sz w:val="22"/>
                <w:szCs w:val="22"/>
              </w:rPr>
              <w:t>.</w:t>
            </w:r>
          </w:p>
        </w:tc>
        <w:tc>
          <w:tcPr>
            <w:tcW w:w="1350" w:type="dxa"/>
            <w:vAlign w:val="center"/>
          </w:tcPr>
          <w:p w:rsidR="00481431" w:rsidRPr="00481431" w:rsidRDefault="00C25C9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45</w:t>
            </w:r>
          </w:p>
        </w:tc>
        <w:tc>
          <w:tcPr>
            <w:tcW w:w="1548" w:type="dxa"/>
            <w:vAlign w:val="center"/>
          </w:tcPr>
          <w:p w:rsidR="00481431" w:rsidRPr="00481431" w:rsidRDefault="00AF02C6" w:rsidP="00C25C9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73440" behindDoc="0" locked="0" layoutInCell="1" allowOverlap="1" wp14:anchorId="4BD2935A" wp14:editId="686BC733">
                      <wp:simplePos x="0" y="0"/>
                      <wp:positionH relativeFrom="column">
                        <wp:posOffset>355600</wp:posOffset>
                      </wp:positionH>
                      <wp:positionV relativeFrom="paragraph">
                        <wp:posOffset>-39370</wp:posOffset>
                      </wp:positionV>
                      <wp:extent cx="178435" cy="281305"/>
                      <wp:effectExtent l="0" t="0" r="0" b="4445"/>
                      <wp:wrapNone/>
                      <wp:docPr id="2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8pt;margin-top:-3.1pt;width:14.05pt;height:22.1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" fillcolor="#00b050" stroked="f"/>
                  </w:pict>
                </mc:Fallback>
              </mc:AlternateContent>
            </w:r>
            <w:r w:rsidR="00C25C98">
              <w:rPr>
                <w:rFonts w:asciiTheme="minorHAnsi" w:hAnsiTheme="minorHAnsi"/>
                <w:b/>
                <w:sz w:val="24"/>
                <w:szCs w:val="24"/>
              </w:rPr>
              <w:t>3</w:t>
            </w:r>
            <w:r>
              <w:rPr>
                <w:rFonts w:asciiTheme="minorHAnsi" w:hAnsiTheme="minorHAnsi"/>
                <w:b/>
                <w:sz w:val="24"/>
                <w:szCs w:val="24"/>
              </w:rPr>
              <w:t>%</w:t>
            </w:r>
          </w:p>
        </w:tc>
      </w:tr>
    </w:tbl>
    <w:p w:rsidR="00481431" w:rsidRPr="00A16353" w:rsidRDefault="00481431" w:rsidP="00481431">
      <w:pPr>
        <w:rPr>
          <w:rFonts w:asciiTheme="minorHAnsi" w:hAnsiTheme="minorHAnsi"/>
          <w:bCs/>
          <w:sz w:val="24"/>
        </w:rPr>
      </w:pPr>
    </w:p>
    <w:p w:rsidR="00546A3A" w:rsidRDefault="00481431" w:rsidP="00546A3A">
      <w:pPr>
        <w:pStyle w:val="BodyText"/>
        <w:jc w:val="both"/>
        <w:rPr>
          <w:rFonts w:asciiTheme="minorHAnsi" w:hAnsiTheme="minorHAnsi"/>
          <w:b/>
          <w:bCs/>
          <w:u w:val="single"/>
        </w:rPr>
      </w:pPr>
      <w:r>
        <w:rPr>
          <w:rFonts w:asciiTheme="minorHAnsi" w:hAnsiTheme="minorHAnsi"/>
          <w:bCs/>
        </w:rPr>
        <w:br w:type="column"/>
      </w:r>
    </w:p>
    <w:tbl>
      <w:tblPr>
        <w:tblStyle w:val="TableClassic3"/>
        <w:tblW w:w="8856" w:type="dxa"/>
        <w:tblLook w:val="04A0" w:firstRow="1" w:lastRow="0" w:firstColumn="1" w:lastColumn="0" w:noHBand="0" w:noVBand="1"/>
      </w:tblPr>
      <w:tblGrid>
        <w:gridCol w:w="1910"/>
        <w:gridCol w:w="1113"/>
        <w:gridCol w:w="528"/>
        <w:gridCol w:w="563"/>
        <w:gridCol w:w="528"/>
        <w:gridCol w:w="528"/>
        <w:gridCol w:w="528"/>
        <w:gridCol w:w="563"/>
        <w:gridCol w:w="581"/>
        <w:gridCol w:w="562"/>
        <w:gridCol w:w="788"/>
        <w:gridCol w:w="664"/>
      </w:tblGrid>
      <w:tr w:rsidR="00500677" w:rsidRPr="00546A3A" w:rsidTr="00C25C9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0" w:type="dxa"/>
            <w:noWrap/>
            <w:vAlign w:val="center"/>
            <w:hideMark/>
          </w:tcPr>
          <w:p w:rsidR="00500677" w:rsidRPr="00F736A9" w:rsidRDefault="00500677" w:rsidP="00546A3A">
            <w:pPr>
              <w:jc w:val="center"/>
              <w:rPr>
                <w:rFonts w:ascii="Arial" w:hAnsi="Arial" w:cs="Arial"/>
                <w:sz w:val="18"/>
                <w:szCs w:val="18"/>
              </w:rPr>
            </w:pPr>
            <w:r w:rsidRPr="00F736A9">
              <w:rPr>
                <w:rFonts w:ascii="Arial" w:hAnsi="Arial" w:cs="Arial"/>
                <w:sz w:val="18"/>
                <w:szCs w:val="18"/>
              </w:rPr>
              <w:t>Consumer Outlook</w:t>
            </w:r>
          </w:p>
        </w:tc>
        <w:tc>
          <w:tcPr>
            <w:tcW w:w="1113" w:type="dxa"/>
            <w:noWrap/>
            <w:vAlign w:val="center"/>
            <w:hideMark/>
          </w:tcPr>
          <w:p w:rsidR="00500677" w:rsidRPr="00546A3A" w:rsidRDefault="00500677"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vAlign w:val="center"/>
          </w:tcPr>
          <w:p w:rsidR="00500677" w:rsidRPr="00546A3A" w:rsidRDefault="00500677"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May</w:t>
            </w:r>
          </w:p>
        </w:tc>
        <w:tc>
          <w:tcPr>
            <w:tcW w:w="563" w:type="dxa"/>
            <w:vAlign w:val="center"/>
          </w:tcPr>
          <w:p w:rsidR="00500677" w:rsidRPr="00546A3A" w:rsidRDefault="00500677"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Sept</w:t>
            </w:r>
          </w:p>
        </w:tc>
        <w:tc>
          <w:tcPr>
            <w:tcW w:w="528" w:type="dxa"/>
            <w:vAlign w:val="center"/>
          </w:tcPr>
          <w:p w:rsidR="00500677" w:rsidRPr="00546A3A" w:rsidRDefault="00500677"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Dec</w:t>
            </w:r>
          </w:p>
        </w:tc>
        <w:tc>
          <w:tcPr>
            <w:tcW w:w="528" w:type="dxa"/>
            <w:vAlign w:val="center"/>
          </w:tcPr>
          <w:p w:rsidR="00500677" w:rsidRPr="00546A3A" w:rsidRDefault="00500677"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Jan</w:t>
            </w:r>
          </w:p>
        </w:tc>
        <w:tc>
          <w:tcPr>
            <w:tcW w:w="528" w:type="dxa"/>
            <w:vAlign w:val="center"/>
          </w:tcPr>
          <w:p w:rsidR="00500677" w:rsidRPr="00546A3A" w:rsidRDefault="00500677"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Apr</w:t>
            </w:r>
          </w:p>
        </w:tc>
        <w:tc>
          <w:tcPr>
            <w:tcW w:w="563" w:type="dxa"/>
            <w:vAlign w:val="center"/>
          </w:tcPr>
          <w:p w:rsidR="00500677" w:rsidRPr="00546A3A" w:rsidRDefault="00500677"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Sept</w:t>
            </w:r>
          </w:p>
        </w:tc>
        <w:tc>
          <w:tcPr>
            <w:tcW w:w="581" w:type="dxa"/>
            <w:vAlign w:val="center"/>
          </w:tcPr>
          <w:p w:rsidR="00500677" w:rsidRPr="004C6631" w:rsidRDefault="00500677"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C6631">
              <w:rPr>
                <w:rFonts w:ascii="Arial" w:hAnsi="Arial" w:cs="Arial"/>
                <w:b w:val="0"/>
                <w:bCs w:val="0"/>
              </w:rPr>
              <w:t>Nov</w:t>
            </w:r>
          </w:p>
        </w:tc>
        <w:tc>
          <w:tcPr>
            <w:tcW w:w="562" w:type="dxa"/>
            <w:noWrap/>
            <w:vAlign w:val="center"/>
          </w:tcPr>
          <w:p w:rsidR="00500677" w:rsidRPr="0082033A" w:rsidRDefault="00500677"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2033A">
              <w:rPr>
                <w:rFonts w:ascii="Arial" w:hAnsi="Arial" w:cs="Arial"/>
                <w:b w:val="0"/>
                <w:bCs w:val="0"/>
              </w:rPr>
              <w:t>Jan</w:t>
            </w:r>
          </w:p>
        </w:tc>
        <w:tc>
          <w:tcPr>
            <w:tcW w:w="788" w:type="dxa"/>
            <w:vAlign w:val="center"/>
          </w:tcPr>
          <w:p w:rsidR="00500677" w:rsidRPr="00500677" w:rsidRDefault="00500677" w:rsidP="00D515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00677">
              <w:rPr>
                <w:rFonts w:ascii="Arial" w:hAnsi="Arial" w:cs="Arial"/>
                <w:b w:val="0"/>
              </w:rPr>
              <w:t>Apr</w:t>
            </w:r>
          </w:p>
        </w:tc>
        <w:tc>
          <w:tcPr>
            <w:tcW w:w="664" w:type="dxa"/>
            <w:vAlign w:val="center"/>
          </w:tcPr>
          <w:p w:rsidR="00500677" w:rsidRPr="00500677" w:rsidRDefault="00500677" w:rsidP="00C25C9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00677">
              <w:rPr>
                <w:rFonts w:ascii="Arial" w:hAnsi="Arial" w:cs="Arial"/>
              </w:rPr>
              <w:t>Sept</w:t>
            </w:r>
          </w:p>
        </w:tc>
      </w:tr>
      <w:tr w:rsidR="00500677"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vAlign w:val="bottom"/>
            <w:hideMark/>
          </w:tcPr>
          <w:p w:rsidR="00500677" w:rsidRPr="00F736A9" w:rsidRDefault="00500677" w:rsidP="00546A3A">
            <w:pPr>
              <w:jc w:val="center"/>
              <w:rPr>
                <w:rFonts w:ascii="Arial" w:hAnsi="Arial" w:cs="Arial"/>
                <w:sz w:val="18"/>
                <w:szCs w:val="18"/>
              </w:rPr>
            </w:pPr>
          </w:p>
        </w:tc>
        <w:tc>
          <w:tcPr>
            <w:tcW w:w="1113" w:type="dxa"/>
            <w:shd w:val="clear" w:color="auto" w:fill="EEECE1" w:themeFill="background2"/>
            <w:noWrap/>
            <w:vAlign w:val="center"/>
            <w:hideMark/>
          </w:tcPr>
          <w:p w:rsidR="00500677" w:rsidRPr="00546A3A"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tcBorders>
              <w:bottom w:val="nil"/>
            </w:tcBorders>
            <w:shd w:val="clear" w:color="auto" w:fill="EEECE1" w:themeFill="background2"/>
            <w:vAlign w:val="center"/>
          </w:tcPr>
          <w:p w:rsidR="00500677" w:rsidRPr="00DA5B64"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63" w:type="dxa"/>
            <w:tcBorders>
              <w:bottom w:val="nil"/>
            </w:tcBorders>
            <w:shd w:val="clear" w:color="auto" w:fill="EEECE1" w:themeFill="background2"/>
            <w:vAlign w:val="center"/>
          </w:tcPr>
          <w:p w:rsidR="00500677" w:rsidRPr="00DA5B64"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28" w:type="dxa"/>
            <w:tcBorders>
              <w:bottom w:val="nil"/>
            </w:tcBorders>
            <w:shd w:val="clear" w:color="auto" w:fill="EEECE1" w:themeFill="background2"/>
            <w:vAlign w:val="center"/>
          </w:tcPr>
          <w:p w:rsidR="00500677" w:rsidRPr="00DA5B64"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28" w:type="dxa"/>
            <w:tcBorders>
              <w:bottom w:val="nil"/>
            </w:tcBorders>
            <w:shd w:val="clear" w:color="auto" w:fill="EEECE1" w:themeFill="background2"/>
            <w:vAlign w:val="center"/>
          </w:tcPr>
          <w:p w:rsidR="00500677" w:rsidRPr="00DA5B64"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28" w:type="dxa"/>
            <w:tcBorders>
              <w:bottom w:val="nil"/>
            </w:tcBorders>
            <w:shd w:val="clear" w:color="auto" w:fill="EEECE1" w:themeFill="background2"/>
            <w:vAlign w:val="center"/>
          </w:tcPr>
          <w:p w:rsidR="00500677" w:rsidRPr="00DA5B64"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63" w:type="dxa"/>
            <w:tcBorders>
              <w:bottom w:val="nil"/>
            </w:tcBorders>
            <w:shd w:val="clear" w:color="auto" w:fill="EEECE1" w:themeFill="background2"/>
            <w:vAlign w:val="center"/>
          </w:tcPr>
          <w:p w:rsidR="00500677" w:rsidRPr="00DA5B64"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81" w:type="dxa"/>
            <w:tcBorders>
              <w:bottom w:val="nil"/>
            </w:tcBorders>
            <w:shd w:val="clear" w:color="auto" w:fill="EEECE1" w:themeFill="background2"/>
            <w:vAlign w:val="center"/>
          </w:tcPr>
          <w:p w:rsidR="00500677" w:rsidRPr="004C6631"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‘12</w:t>
            </w:r>
          </w:p>
        </w:tc>
        <w:tc>
          <w:tcPr>
            <w:tcW w:w="562" w:type="dxa"/>
            <w:tcBorders>
              <w:bottom w:val="nil"/>
            </w:tcBorders>
            <w:shd w:val="clear" w:color="auto" w:fill="EEECE1" w:themeFill="background2"/>
            <w:noWrap/>
            <w:vAlign w:val="center"/>
          </w:tcPr>
          <w:p w:rsidR="00500677" w:rsidRPr="0082033A"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788" w:type="dxa"/>
            <w:tcBorders>
              <w:bottom w:val="nil"/>
            </w:tcBorders>
            <w:shd w:val="clear" w:color="auto" w:fill="EEECE1" w:themeFill="background2"/>
            <w:vAlign w:val="center"/>
          </w:tcPr>
          <w:p w:rsidR="00500677" w:rsidRPr="00500677" w:rsidRDefault="00500677"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‘13</w:t>
            </w:r>
          </w:p>
        </w:tc>
        <w:tc>
          <w:tcPr>
            <w:tcW w:w="664" w:type="dxa"/>
            <w:tcBorders>
              <w:bottom w:val="nil"/>
            </w:tcBorders>
            <w:shd w:val="clear" w:color="auto" w:fill="EEECE1" w:themeFill="background2"/>
            <w:vAlign w:val="center"/>
          </w:tcPr>
          <w:p w:rsidR="00500677" w:rsidRPr="00500677" w:rsidRDefault="00500677"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00677">
              <w:rPr>
                <w:rFonts w:ascii="Arial" w:hAnsi="Arial" w:cs="Arial"/>
                <w:b/>
                <w:bCs/>
              </w:rPr>
              <w:t>‘13</w:t>
            </w:r>
          </w:p>
        </w:tc>
      </w:tr>
      <w:tr w:rsidR="00500677"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500677" w:rsidRPr="00546A3A" w:rsidRDefault="00500677" w:rsidP="007C47FE">
            <w:pPr>
              <w:rPr>
                <w:rFonts w:ascii="Arial" w:hAnsi="Arial" w:cs="Arial"/>
                <w:sz w:val="16"/>
                <w:szCs w:val="16"/>
              </w:rPr>
            </w:pPr>
            <w:r w:rsidRPr="00546A3A">
              <w:rPr>
                <w:rFonts w:ascii="Arial" w:hAnsi="Arial" w:cs="Arial"/>
                <w:sz w:val="16"/>
                <w:szCs w:val="16"/>
              </w:rPr>
              <w:t> </w:t>
            </w:r>
          </w:p>
        </w:tc>
        <w:tc>
          <w:tcPr>
            <w:tcW w:w="1113" w:type="dxa"/>
            <w:shd w:val="clear" w:color="auto" w:fill="EEECE1" w:themeFill="background2"/>
            <w:noWrap/>
            <w:vAlign w:val="center"/>
            <w:hideMark/>
          </w:tcPr>
          <w:p w:rsidR="00500677" w:rsidRPr="00546A3A"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tcBorders>
              <w:top w:val="nil"/>
              <w:bottom w:val="single" w:sz="4" w:space="0" w:color="auto"/>
            </w:tcBorders>
            <w:shd w:val="clear" w:color="auto" w:fill="EEECE1" w:themeFill="background2"/>
            <w:vAlign w:val="center"/>
          </w:tcPr>
          <w:p w:rsidR="00500677" w:rsidRPr="00DA5B64"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63" w:type="dxa"/>
            <w:tcBorders>
              <w:top w:val="nil"/>
              <w:bottom w:val="single" w:sz="4" w:space="0" w:color="auto"/>
            </w:tcBorders>
            <w:shd w:val="clear" w:color="auto" w:fill="EEECE1" w:themeFill="background2"/>
            <w:vAlign w:val="center"/>
          </w:tcPr>
          <w:p w:rsidR="00500677" w:rsidRPr="00DA5B64"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500677" w:rsidRPr="00DA5B64"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500677" w:rsidRPr="00DA5B64"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500677" w:rsidRPr="00DA5B64"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63" w:type="dxa"/>
            <w:tcBorders>
              <w:top w:val="nil"/>
              <w:bottom w:val="single" w:sz="4" w:space="0" w:color="auto"/>
            </w:tcBorders>
            <w:shd w:val="clear" w:color="auto" w:fill="EEECE1" w:themeFill="background2"/>
            <w:vAlign w:val="center"/>
          </w:tcPr>
          <w:p w:rsidR="00500677" w:rsidRPr="00DA5B64"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81" w:type="dxa"/>
            <w:tcBorders>
              <w:top w:val="nil"/>
              <w:bottom w:val="single" w:sz="4" w:space="0" w:color="auto"/>
            </w:tcBorders>
            <w:shd w:val="clear" w:color="auto" w:fill="EEECE1" w:themeFill="background2"/>
            <w:vAlign w:val="center"/>
          </w:tcPr>
          <w:p w:rsidR="00500677" w:rsidRPr="004C6631"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w:t>
            </w:r>
          </w:p>
        </w:tc>
        <w:tc>
          <w:tcPr>
            <w:tcW w:w="562" w:type="dxa"/>
            <w:tcBorders>
              <w:top w:val="nil"/>
              <w:bottom w:val="single" w:sz="4" w:space="0" w:color="auto"/>
            </w:tcBorders>
            <w:shd w:val="clear" w:color="auto" w:fill="EEECE1" w:themeFill="background2"/>
            <w:noWrap/>
            <w:vAlign w:val="center"/>
          </w:tcPr>
          <w:p w:rsidR="00500677" w:rsidRPr="0082033A" w:rsidRDefault="00500677"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w:t>
            </w:r>
          </w:p>
        </w:tc>
        <w:tc>
          <w:tcPr>
            <w:tcW w:w="788" w:type="dxa"/>
            <w:tcBorders>
              <w:top w:val="nil"/>
              <w:bottom w:val="single" w:sz="4" w:space="0" w:color="auto"/>
            </w:tcBorders>
            <w:shd w:val="clear" w:color="auto" w:fill="EEECE1" w:themeFill="background2"/>
            <w:vAlign w:val="center"/>
          </w:tcPr>
          <w:p w:rsidR="00500677" w:rsidRPr="00500677" w:rsidRDefault="00500677"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w:t>
            </w:r>
          </w:p>
        </w:tc>
        <w:tc>
          <w:tcPr>
            <w:tcW w:w="664" w:type="dxa"/>
            <w:tcBorders>
              <w:top w:val="nil"/>
              <w:bottom w:val="single" w:sz="4" w:space="0" w:color="auto"/>
            </w:tcBorders>
            <w:shd w:val="clear" w:color="auto" w:fill="EEECE1" w:themeFill="background2"/>
            <w:vAlign w:val="center"/>
          </w:tcPr>
          <w:p w:rsidR="00500677" w:rsidRPr="00500677" w:rsidRDefault="00500677"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528" w:type="dxa"/>
            <w:tcBorders>
              <w:top w:val="single" w:sz="4" w:space="0" w:color="auto"/>
            </w:tcBorders>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63" w:type="dxa"/>
            <w:tcBorders>
              <w:top w:val="single" w:sz="4" w:space="0" w:color="auto"/>
            </w:tcBorders>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28" w:type="dxa"/>
            <w:tcBorders>
              <w:top w:val="single" w:sz="4" w:space="0" w:color="auto"/>
            </w:tcBorders>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tcBorders>
              <w:top w:val="single" w:sz="4" w:space="0" w:color="auto"/>
            </w:tcBorders>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28" w:type="dxa"/>
            <w:tcBorders>
              <w:top w:val="single" w:sz="4" w:space="0" w:color="auto"/>
            </w:tcBorders>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tcBorders>
              <w:top w:val="single" w:sz="4" w:space="0" w:color="auto"/>
            </w:tcBorders>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81" w:type="dxa"/>
            <w:tcBorders>
              <w:top w:val="single" w:sz="4" w:space="0" w:color="auto"/>
            </w:tcBorders>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14</w:t>
            </w:r>
          </w:p>
        </w:tc>
        <w:tc>
          <w:tcPr>
            <w:tcW w:w="562" w:type="dxa"/>
            <w:tcBorders>
              <w:top w:val="single" w:sz="4" w:space="0" w:color="auto"/>
            </w:tcBorders>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14</w:t>
            </w:r>
          </w:p>
        </w:tc>
        <w:tc>
          <w:tcPr>
            <w:tcW w:w="788" w:type="dxa"/>
            <w:tcBorders>
              <w:top w:val="single" w:sz="4" w:space="0" w:color="auto"/>
            </w:tcBorders>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13</w:t>
            </w:r>
          </w:p>
        </w:tc>
        <w:tc>
          <w:tcPr>
            <w:tcW w:w="664" w:type="dxa"/>
            <w:tcBorders>
              <w:top w:val="single" w:sz="4" w:space="0" w:color="auto"/>
            </w:tcBorders>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14</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in the U.S.</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65</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62</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60</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62</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62</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66</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29</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25</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23</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20</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34</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33</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30</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34</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41</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46</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48</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in the U.S. be:</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28</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22</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19</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20</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24</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42</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44</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49</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in Middle TN:</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60</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60</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48</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45</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46</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10</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8</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9</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31</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36</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36</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39</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37</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45</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52</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49</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51</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in Middle TN be:</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10</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10</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10</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Are jobs in Middle TN:</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Easy to find</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7</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8</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8</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Found w/effort</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53</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54</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57</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Hard to find</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37</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31</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29</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 xml:space="preserve">In Middle TN six months </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More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33</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34</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39</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40</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from now there will be</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46</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49</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47</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45</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 of jobs):</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Fewer</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11</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12</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 xml:space="preserve">Compared to a year ago,  </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17</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24</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is your personal financial</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58</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56</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56</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57</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52</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53</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situation:</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31</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26</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26</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23</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 xml:space="preserve">In 12 months will your  </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33</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37</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35</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 xml:space="preserve">personal financial </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51</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53</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52</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51</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situation be:</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10</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14</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11</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14</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28</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30</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29</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buy large items for</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45</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40</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47</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48</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47</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roofErr w:type="gramStart"/>
            <w:r w:rsidRPr="00546A3A">
              <w:rPr>
                <w:rFonts w:ascii="Arial" w:hAnsi="Arial" w:cs="Arial"/>
                <w:sz w:val="16"/>
                <w:szCs w:val="16"/>
              </w:rPr>
              <w:t>the</w:t>
            </w:r>
            <w:proofErr w:type="gramEnd"/>
            <w:r w:rsidRPr="00546A3A">
              <w:rPr>
                <w:rFonts w:ascii="Arial" w:hAnsi="Arial" w:cs="Arial"/>
                <w:sz w:val="16"/>
                <w:szCs w:val="16"/>
              </w:rPr>
              <w:t xml:space="preserve"> home?</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22</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22</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23</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20</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18</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18</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Is now a good time to</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61</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68</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71</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69</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62</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67</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65</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65</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house?</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14</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15</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22</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19</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12</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9</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12</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37</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37</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42</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45</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car?</w:t>
            </w: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39</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40</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37</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38</w:t>
            </w:r>
          </w:p>
        </w:tc>
      </w:tr>
      <w:tr w:rsidR="00E82CEA" w:rsidRPr="00546A3A" w:rsidTr="00C25C98">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E82CEA" w:rsidRPr="00546A3A" w:rsidRDefault="00E82CEA" w:rsidP="007C47FE">
            <w:pPr>
              <w:rPr>
                <w:rFonts w:ascii="Arial" w:hAnsi="Arial" w:cs="Arial"/>
                <w:sz w:val="16"/>
                <w:szCs w:val="16"/>
              </w:rPr>
            </w:pPr>
          </w:p>
        </w:tc>
        <w:tc>
          <w:tcPr>
            <w:tcW w:w="1113" w:type="dxa"/>
            <w:shd w:val="clear" w:color="auto" w:fill="EEECE1" w:themeFill="background2"/>
            <w:noWrap/>
            <w:vAlign w:val="center"/>
            <w:hideMark/>
          </w:tcPr>
          <w:p w:rsidR="00E82CEA" w:rsidRPr="00546A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20</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E82CEA" w:rsidRPr="00DA5B64"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581" w:type="dxa"/>
            <w:shd w:val="clear" w:color="auto" w:fill="EEECE1" w:themeFill="background2"/>
            <w:vAlign w:val="center"/>
          </w:tcPr>
          <w:p w:rsidR="00E82CEA" w:rsidRPr="004C6631"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E82CEA" w:rsidRPr="0082033A" w:rsidRDefault="00E82CE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17</w:t>
            </w:r>
          </w:p>
        </w:tc>
        <w:tc>
          <w:tcPr>
            <w:tcW w:w="788" w:type="dxa"/>
            <w:shd w:val="clear" w:color="auto" w:fill="EEECE1" w:themeFill="background2"/>
            <w:vAlign w:val="center"/>
          </w:tcPr>
          <w:p w:rsidR="00E82CEA" w:rsidRPr="00500677" w:rsidRDefault="00E82CE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15</w:t>
            </w:r>
          </w:p>
        </w:tc>
        <w:tc>
          <w:tcPr>
            <w:tcW w:w="664" w:type="dxa"/>
            <w:shd w:val="clear" w:color="auto" w:fill="EEECE1" w:themeFill="background2"/>
            <w:vAlign w:val="center"/>
          </w:tcPr>
          <w:p w:rsidR="00E82CEA" w:rsidRDefault="00E82CEA"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14</w:t>
            </w:r>
          </w:p>
        </w:tc>
      </w:tr>
    </w:tbl>
    <w:p w:rsidR="00546A3A" w:rsidRDefault="00546A3A" w:rsidP="00525FB0">
      <w:pPr>
        <w:pStyle w:val="BodyText"/>
        <w:jc w:val="both"/>
        <w:rPr>
          <w:rFonts w:asciiTheme="minorHAnsi" w:hAnsiTheme="minorHAnsi"/>
          <w:b/>
          <w:bCs/>
          <w:u w:val="single"/>
        </w:rPr>
      </w:pPr>
      <w:r>
        <w:rPr>
          <w:rFonts w:asciiTheme="minorHAnsi" w:hAnsiTheme="minorHAnsi"/>
          <w:b/>
          <w:bCs/>
          <w:u w:val="single"/>
        </w:rPr>
        <w:br w:type="column"/>
      </w:r>
    </w:p>
    <w:p w:rsidR="0048745E" w:rsidRPr="00CA0D29" w:rsidRDefault="00527F2A" w:rsidP="00527F2A">
      <w:pPr>
        <w:rPr>
          <w:rFonts w:asciiTheme="minorHAnsi" w:hAnsiTheme="minorHAnsi"/>
          <w:b/>
          <w:bCs/>
          <w:sz w:val="28"/>
          <w:szCs w:val="28"/>
          <w:u w:val="single"/>
        </w:rPr>
      </w:pPr>
      <w:r w:rsidRPr="00CA0D29">
        <w:rPr>
          <w:rFonts w:asciiTheme="minorHAnsi" w:hAnsiTheme="minorHAnsi"/>
          <w:b/>
          <w:bCs/>
          <w:sz w:val="28"/>
          <w:szCs w:val="28"/>
          <w:u w:val="single"/>
        </w:rPr>
        <w:t>Taxes</w:t>
      </w:r>
    </w:p>
    <w:p w:rsidR="00527F2A" w:rsidRPr="00A16353" w:rsidRDefault="00527F2A" w:rsidP="00527F2A">
      <w:pPr>
        <w:rPr>
          <w:rFonts w:asciiTheme="minorHAnsi" w:hAnsiTheme="minorHAnsi"/>
          <w:bCs/>
          <w:sz w:val="24"/>
        </w:rPr>
      </w:pPr>
    </w:p>
    <w:p w:rsidR="00B4601A" w:rsidRDefault="00527F2A" w:rsidP="00527F2A">
      <w:pPr>
        <w:jc w:val="both"/>
        <w:rPr>
          <w:rFonts w:asciiTheme="minorHAnsi" w:hAnsiTheme="minorHAnsi"/>
          <w:bCs/>
          <w:sz w:val="24"/>
        </w:rPr>
      </w:pPr>
      <w:r w:rsidRPr="00A16353">
        <w:rPr>
          <w:rFonts w:asciiTheme="minorHAnsi" w:hAnsiTheme="minorHAnsi"/>
          <w:bCs/>
          <w:sz w:val="24"/>
        </w:rPr>
        <w:t xml:space="preserve">     </w:t>
      </w:r>
      <w:r w:rsidR="00342C3E">
        <w:rPr>
          <w:rFonts w:asciiTheme="minorHAnsi" w:hAnsiTheme="minorHAnsi"/>
          <w:bCs/>
          <w:sz w:val="24"/>
        </w:rPr>
        <w:t>While increased taxes can reduce the amount of money that consumers have available for discretionary spending, fears of higher taxes in the future seem to be abating. The percentage of consumers who expect their taxes to increase in the future decreased to 64 from 73 in April</w:t>
      </w:r>
      <w:r w:rsidR="00BC6850">
        <w:rPr>
          <w:rFonts w:asciiTheme="minorHAnsi" w:hAnsiTheme="minorHAnsi"/>
          <w:bCs/>
          <w:sz w:val="24"/>
        </w:rPr>
        <w:t>.  However, only 4 percent of consumers expect taxes to decrease in the next year.</w:t>
      </w:r>
    </w:p>
    <w:p w:rsidR="00125541" w:rsidRDefault="00125541" w:rsidP="00527F2A">
      <w:pPr>
        <w:jc w:val="both"/>
        <w:rPr>
          <w:rFonts w:asciiTheme="minorHAnsi" w:hAnsiTheme="minorHAnsi"/>
          <w:bCs/>
          <w:sz w:val="24"/>
        </w:rPr>
      </w:pPr>
    </w:p>
    <w:p w:rsidR="00527F2A" w:rsidRPr="00480D3A" w:rsidRDefault="00847832" w:rsidP="00527F2A">
      <w:pPr>
        <w:jc w:val="center"/>
        <w:rPr>
          <w:bCs/>
          <w:sz w:val="24"/>
        </w:rPr>
      </w:pPr>
      <w:r>
        <w:rPr>
          <w:noProof/>
          <w:sz w:val="24"/>
        </w:rPr>
        <w:drawing>
          <wp:inline distT="0" distB="0" distL="0" distR="0">
            <wp:extent cx="4991100" cy="2352675"/>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2498" w:rsidRDefault="00E22498" w:rsidP="00527F2A">
      <w:pPr>
        <w:rPr>
          <w:rFonts w:asciiTheme="minorHAnsi" w:hAnsiTheme="minorHAnsi"/>
          <w:b/>
          <w:bCs/>
          <w:sz w:val="24"/>
          <w:u w:val="single"/>
        </w:rPr>
      </w:pPr>
    </w:p>
    <w:p w:rsidR="00527F2A" w:rsidRPr="00CA0D29" w:rsidRDefault="00527F2A" w:rsidP="00527F2A">
      <w:pPr>
        <w:rPr>
          <w:rFonts w:asciiTheme="minorHAnsi" w:hAnsiTheme="minorHAnsi"/>
          <w:b/>
          <w:bCs/>
          <w:sz w:val="28"/>
          <w:szCs w:val="28"/>
          <w:u w:val="single"/>
        </w:rPr>
      </w:pPr>
      <w:r w:rsidRPr="00CA0D29">
        <w:rPr>
          <w:rFonts w:asciiTheme="minorHAnsi" w:hAnsiTheme="minorHAnsi"/>
          <w:b/>
          <w:bCs/>
          <w:sz w:val="28"/>
          <w:szCs w:val="28"/>
          <w:u w:val="single"/>
        </w:rPr>
        <w:t>Consumer Investments: The Stock Market</w:t>
      </w:r>
    </w:p>
    <w:p w:rsidR="00527F2A" w:rsidRPr="00A16353" w:rsidRDefault="00527F2A" w:rsidP="00527F2A">
      <w:pPr>
        <w:rPr>
          <w:rFonts w:asciiTheme="minorHAnsi" w:hAnsiTheme="minorHAnsi"/>
          <w:bCs/>
          <w:sz w:val="24"/>
        </w:rPr>
      </w:pPr>
    </w:p>
    <w:p w:rsidR="002C5E02" w:rsidRDefault="002C5E02" w:rsidP="00527F2A">
      <w:pPr>
        <w:jc w:val="both"/>
        <w:rPr>
          <w:rFonts w:asciiTheme="minorHAnsi" w:hAnsiTheme="minorHAnsi"/>
          <w:bCs/>
          <w:sz w:val="24"/>
        </w:rPr>
      </w:pPr>
      <w:r>
        <w:rPr>
          <w:rFonts w:asciiTheme="minorHAnsi" w:hAnsiTheme="minorHAnsi"/>
          <w:bCs/>
          <w:sz w:val="24"/>
        </w:rPr>
        <w:t xml:space="preserve">     </w:t>
      </w:r>
      <w:r w:rsidR="00E20EF5">
        <w:rPr>
          <w:rFonts w:asciiTheme="minorHAnsi" w:hAnsiTheme="minorHAnsi"/>
          <w:bCs/>
          <w:sz w:val="24"/>
        </w:rPr>
        <w:t xml:space="preserve">A rising </w:t>
      </w:r>
      <w:r w:rsidR="007044AA">
        <w:rPr>
          <w:rFonts w:asciiTheme="minorHAnsi" w:hAnsiTheme="minorHAnsi"/>
          <w:bCs/>
          <w:sz w:val="24"/>
        </w:rPr>
        <w:t xml:space="preserve">U.S. stock market </w:t>
      </w:r>
      <w:r w:rsidR="00E20EF5">
        <w:rPr>
          <w:rFonts w:asciiTheme="minorHAnsi" w:hAnsiTheme="minorHAnsi"/>
          <w:bCs/>
          <w:sz w:val="24"/>
        </w:rPr>
        <w:t xml:space="preserve">can give </w:t>
      </w:r>
      <w:r w:rsidR="007044AA">
        <w:rPr>
          <w:rFonts w:asciiTheme="minorHAnsi" w:hAnsiTheme="minorHAnsi"/>
          <w:bCs/>
          <w:sz w:val="24"/>
        </w:rPr>
        <w:t xml:space="preserve">consumers a greater feeling of wealth as their investments and savings grow.  </w:t>
      </w:r>
      <w:r w:rsidR="00342C3E">
        <w:rPr>
          <w:rFonts w:asciiTheme="minorHAnsi" w:hAnsiTheme="minorHAnsi"/>
          <w:bCs/>
          <w:sz w:val="24"/>
        </w:rPr>
        <w:t>T</w:t>
      </w:r>
      <w:r w:rsidR="00173882">
        <w:rPr>
          <w:rFonts w:asciiTheme="minorHAnsi" w:hAnsiTheme="minorHAnsi"/>
          <w:bCs/>
          <w:sz w:val="24"/>
        </w:rPr>
        <w:t>h</w:t>
      </w:r>
      <w:r w:rsidR="00967677">
        <w:rPr>
          <w:rFonts w:asciiTheme="minorHAnsi" w:hAnsiTheme="minorHAnsi"/>
          <w:bCs/>
          <w:sz w:val="24"/>
        </w:rPr>
        <w:t xml:space="preserve">e percent of consumers who expect the stock market to increase </w:t>
      </w:r>
      <w:r w:rsidR="00342C3E">
        <w:rPr>
          <w:rFonts w:asciiTheme="minorHAnsi" w:hAnsiTheme="minorHAnsi"/>
          <w:bCs/>
          <w:sz w:val="24"/>
        </w:rPr>
        <w:t xml:space="preserve">in the next 12 months remained steady.  </w:t>
      </w:r>
      <w:r w:rsidR="00967677">
        <w:rPr>
          <w:rFonts w:asciiTheme="minorHAnsi" w:hAnsiTheme="minorHAnsi"/>
          <w:bCs/>
          <w:sz w:val="24"/>
        </w:rPr>
        <w:t xml:space="preserve"> </w:t>
      </w:r>
      <w:r w:rsidR="00342C3E">
        <w:rPr>
          <w:rFonts w:asciiTheme="minorHAnsi" w:hAnsiTheme="minorHAnsi"/>
          <w:bCs/>
          <w:sz w:val="24"/>
        </w:rPr>
        <w:t xml:space="preserve">The percent on consumers who expect the stock market to decrease in the next 12 months edged up only one percent.  </w:t>
      </w:r>
    </w:p>
    <w:p w:rsidR="00CA0D29" w:rsidRDefault="00CA0D29" w:rsidP="00527F2A">
      <w:pPr>
        <w:jc w:val="both"/>
        <w:rPr>
          <w:rFonts w:asciiTheme="minorHAnsi" w:hAnsiTheme="minorHAnsi"/>
          <w:bCs/>
          <w:sz w:val="24"/>
        </w:rPr>
      </w:pPr>
    </w:p>
    <w:p w:rsidR="00527F2A" w:rsidRPr="00480D3A" w:rsidRDefault="00847832" w:rsidP="00527F2A">
      <w:pPr>
        <w:jc w:val="center"/>
        <w:rPr>
          <w:bCs/>
          <w:sz w:val="24"/>
        </w:rPr>
      </w:pPr>
      <w:r>
        <w:rPr>
          <w:noProof/>
          <w:sz w:val="24"/>
        </w:rPr>
        <w:drawing>
          <wp:inline distT="0" distB="0" distL="0" distR="0">
            <wp:extent cx="5753100" cy="2543175"/>
            <wp:effectExtent l="0" t="0" r="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1959" w:rsidRPr="008D1959" w:rsidRDefault="008D1959" w:rsidP="008D1959">
      <w:pPr>
        <w:pStyle w:val="BodyText"/>
        <w:jc w:val="both"/>
        <w:rPr>
          <w:rFonts w:asciiTheme="minorHAnsi" w:hAnsiTheme="minorHAnsi"/>
          <w:b/>
          <w:bCs/>
          <w:sz w:val="28"/>
          <w:szCs w:val="28"/>
          <w:u w:val="single"/>
        </w:rPr>
      </w:pPr>
      <w:r w:rsidRPr="008D1959">
        <w:rPr>
          <w:rFonts w:asciiTheme="minorHAnsi" w:hAnsiTheme="minorHAnsi"/>
          <w:b/>
          <w:bCs/>
          <w:sz w:val="28"/>
          <w:szCs w:val="28"/>
          <w:u w:val="single"/>
        </w:rPr>
        <w:lastRenderedPageBreak/>
        <w:t>Annual Consumer Spending</w:t>
      </w:r>
    </w:p>
    <w:p w:rsidR="008D1959" w:rsidRPr="00A16353" w:rsidRDefault="008D1959" w:rsidP="008D1959">
      <w:pPr>
        <w:pStyle w:val="BodyText"/>
        <w:jc w:val="both"/>
        <w:rPr>
          <w:rFonts w:asciiTheme="minorHAnsi" w:hAnsiTheme="minorHAnsi"/>
          <w:bCs/>
        </w:rPr>
      </w:pPr>
    </w:p>
    <w:p w:rsidR="008D1959" w:rsidRDefault="007C47FE" w:rsidP="008D1959">
      <w:pPr>
        <w:pStyle w:val="BodyText"/>
        <w:jc w:val="both"/>
        <w:rPr>
          <w:rFonts w:asciiTheme="minorHAnsi" w:hAnsiTheme="minorHAnsi"/>
          <w:bCs/>
        </w:rPr>
      </w:pPr>
      <w:r>
        <w:rPr>
          <w:rFonts w:asciiTheme="minorHAnsi" w:hAnsiTheme="minorHAnsi"/>
          <w:bCs/>
        </w:rPr>
        <w:t xml:space="preserve">     </w:t>
      </w:r>
      <w:r w:rsidR="00967677">
        <w:rPr>
          <w:rFonts w:asciiTheme="minorHAnsi" w:hAnsiTheme="minorHAnsi"/>
          <w:bCs/>
        </w:rPr>
        <w:t xml:space="preserve">An increase in consumers’ outlook on the economy is often seen as a precursor to increased consumer spending.  </w:t>
      </w:r>
      <w:r w:rsidR="00173882">
        <w:rPr>
          <w:rFonts w:asciiTheme="minorHAnsi" w:hAnsiTheme="minorHAnsi"/>
          <w:bCs/>
        </w:rPr>
        <w:t xml:space="preserve">And, consumers seem to be more willing to open up their wallets and increase their spending. </w:t>
      </w:r>
    </w:p>
    <w:p w:rsidR="008D1959" w:rsidRDefault="008D1959" w:rsidP="008D1959">
      <w:pPr>
        <w:pStyle w:val="BodyText"/>
        <w:jc w:val="both"/>
        <w:rPr>
          <w:rFonts w:asciiTheme="minorHAnsi" w:hAnsiTheme="minorHAnsi"/>
          <w:bCs/>
        </w:rPr>
      </w:pPr>
    </w:p>
    <w:p w:rsidR="008D1959" w:rsidRDefault="008D1959" w:rsidP="008D1959">
      <w:pPr>
        <w:pStyle w:val="BodyText"/>
        <w:jc w:val="center"/>
        <w:rPr>
          <w:bCs/>
        </w:rPr>
      </w:pPr>
    </w:p>
    <w:p w:rsidR="008D1959" w:rsidRDefault="008D1959" w:rsidP="008D1959">
      <w:pPr>
        <w:pStyle w:val="BodyText"/>
        <w:jc w:val="center"/>
        <w:rPr>
          <w:bCs/>
        </w:rPr>
      </w:pPr>
      <w:r>
        <w:rPr>
          <w:noProof/>
        </w:rPr>
        <w:drawing>
          <wp:inline distT="0" distB="0" distL="0" distR="0" wp14:anchorId="79C07CD3" wp14:editId="6881AD1A">
            <wp:extent cx="5325626" cy="2441750"/>
            <wp:effectExtent l="0" t="0" r="889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1959" w:rsidRDefault="008D1959" w:rsidP="008D1959">
      <w:pPr>
        <w:pStyle w:val="BodyText"/>
        <w:jc w:val="both"/>
        <w:rPr>
          <w:rFonts w:asciiTheme="minorHAnsi" w:hAnsiTheme="minorHAnsi"/>
          <w:bCs/>
        </w:rPr>
      </w:pPr>
      <w:r>
        <w:rPr>
          <w:rFonts w:asciiTheme="minorHAnsi" w:hAnsiTheme="minorHAnsi"/>
          <w:bCs/>
        </w:rPr>
        <w:t xml:space="preserve">    </w:t>
      </w:r>
    </w:p>
    <w:p w:rsidR="00D51D6B" w:rsidRPr="000D12D0" w:rsidRDefault="00D51D6B" w:rsidP="00D51D6B">
      <w:pPr>
        <w:rPr>
          <w:rFonts w:asciiTheme="minorHAnsi" w:hAnsiTheme="minorHAnsi"/>
          <w:b/>
          <w:bCs/>
          <w:sz w:val="28"/>
          <w:szCs w:val="28"/>
          <w:u w:val="single"/>
        </w:rPr>
      </w:pPr>
      <w:r w:rsidRPr="000D12D0">
        <w:rPr>
          <w:rFonts w:asciiTheme="minorHAnsi" w:hAnsiTheme="minorHAnsi"/>
          <w:b/>
          <w:bCs/>
          <w:sz w:val="28"/>
          <w:szCs w:val="28"/>
          <w:u w:val="single"/>
        </w:rPr>
        <w:t xml:space="preserve">Perceptions of the Economy:  Comparison </w:t>
      </w:r>
      <w:r w:rsidR="00D96C1F" w:rsidRPr="000D12D0">
        <w:rPr>
          <w:rFonts w:asciiTheme="minorHAnsi" w:hAnsiTheme="minorHAnsi"/>
          <w:b/>
          <w:bCs/>
          <w:sz w:val="28"/>
          <w:szCs w:val="28"/>
          <w:u w:val="single"/>
        </w:rPr>
        <w:t>t</w:t>
      </w:r>
      <w:r w:rsidRPr="000D12D0">
        <w:rPr>
          <w:rFonts w:asciiTheme="minorHAnsi" w:hAnsiTheme="minorHAnsi"/>
          <w:b/>
          <w:bCs/>
          <w:sz w:val="28"/>
          <w:szCs w:val="28"/>
          <w:u w:val="single"/>
        </w:rPr>
        <w:t xml:space="preserve">o </w:t>
      </w:r>
      <w:proofErr w:type="gramStart"/>
      <w:r w:rsidRPr="000D12D0">
        <w:rPr>
          <w:rFonts w:asciiTheme="minorHAnsi" w:hAnsiTheme="minorHAnsi"/>
          <w:b/>
          <w:bCs/>
          <w:sz w:val="28"/>
          <w:szCs w:val="28"/>
          <w:u w:val="single"/>
        </w:rPr>
        <w:t>The</w:t>
      </w:r>
      <w:proofErr w:type="gramEnd"/>
      <w:r w:rsidRPr="000D12D0">
        <w:rPr>
          <w:rFonts w:asciiTheme="minorHAnsi" w:hAnsiTheme="minorHAnsi"/>
          <w:b/>
          <w:bCs/>
          <w:sz w:val="28"/>
          <w:szCs w:val="28"/>
          <w:u w:val="single"/>
        </w:rPr>
        <w:t xml:space="preserve"> Nation</w:t>
      </w:r>
    </w:p>
    <w:p w:rsidR="00D51D6B" w:rsidRPr="00A16353" w:rsidRDefault="00D51D6B" w:rsidP="00D51D6B">
      <w:pPr>
        <w:rPr>
          <w:rFonts w:asciiTheme="minorHAnsi" w:hAnsiTheme="minorHAnsi"/>
          <w:b/>
          <w:bCs/>
          <w:sz w:val="24"/>
          <w:u w:val="single"/>
        </w:rPr>
      </w:pPr>
    </w:p>
    <w:p w:rsidR="00D51D6B" w:rsidRDefault="00D51D6B" w:rsidP="00D51D6B">
      <w:pPr>
        <w:pStyle w:val="BodyText"/>
        <w:jc w:val="both"/>
        <w:rPr>
          <w:rFonts w:asciiTheme="minorHAnsi" w:hAnsiTheme="minorHAnsi"/>
        </w:rPr>
      </w:pPr>
      <w:r w:rsidRPr="00A16353">
        <w:rPr>
          <w:rFonts w:asciiTheme="minorHAnsi" w:hAnsiTheme="minorHAnsi"/>
        </w:rPr>
        <w:t xml:space="preserve">     </w:t>
      </w:r>
      <w:r w:rsidR="007221A8">
        <w:rPr>
          <w:rFonts w:asciiTheme="minorHAnsi" w:hAnsiTheme="minorHAnsi"/>
        </w:rPr>
        <w:t xml:space="preserve">Consumers in Middle Tennessee do not share the same perceptions of the overall economy as compared to consumers across the rest of the country.  </w:t>
      </w:r>
      <w:r w:rsidRPr="00A16353">
        <w:rPr>
          <w:rFonts w:asciiTheme="minorHAnsi" w:hAnsiTheme="minorHAnsi"/>
        </w:rPr>
        <w:t>Compared to consumers across the coun</w:t>
      </w:r>
      <w:r w:rsidR="007221A8">
        <w:rPr>
          <w:rFonts w:asciiTheme="minorHAnsi" w:hAnsiTheme="minorHAnsi"/>
        </w:rPr>
        <w:t xml:space="preserve">try as a whole, local consumers </w:t>
      </w:r>
      <w:r w:rsidR="00BC6850">
        <w:rPr>
          <w:rFonts w:asciiTheme="minorHAnsi" w:hAnsiTheme="minorHAnsi"/>
        </w:rPr>
        <w:t>are</w:t>
      </w:r>
      <w:r w:rsidR="007221A8">
        <w:rPr>
          <w:rFonts w:asciiTheme="minorHAnsi" w:hAnsiTheme="minorHAnsi"/>
        </w:rPr>
        <w:t xml:space="preserve"> less positive about the current U.S. economy and have a slightly less positive view of the current job market.  However, local consumers have </w:t>
      </w:r>
      <w:r w:rsidRPr="00A16353">
        <w:rPr>
          <w:rFonts w:asciiTheme="minorHAnsi" w:hAnsiTheme="minorHAnsi"/>
        </w:rPr>
        <w:t xml:space="preserve">traditionally </w:t>
      </w:r>
      <w:r w:rsidR="007221A8">
        <w:rPr>
          <w:rFonts w:asciiTheme="minorHAnsi" w:hAnsiTheme="minorHAnsi"/>
        </w:rPr>
        <w:t xml:space="preserve">been more optimistic about the future of the economy.  </w:t>
      </w:r>
      <w:r w:rsidR="000D12D0">
        <w:rPr>
          <w:rFonts w:asciiTheme="minorHAnsi" w:hAnsiTheme="minorHAnsi"/>
        </w:rPr>
        <w:t>L</w:t>
      </w:r>
      <w:r w:rsidRPr="00A16353">
        <w:rPr>
          <w:rFonts w:asciiTheme="minorHAnsi" w:hAnsiTheme="minorHAnsi"/>
        </w:rPr>
        <w:t xml:space="preserve">ocal consumers are </w:t>
      </w:r>
      <w:r w:rsidR="00955190">
        <w:rPr>
          <w:rFonts w:asciiTheme="minorHAnsi" w:hAnsiTheme="minorHAnsi"/>
        </w:rPr>
        <w:t xml:space="preserve">comparatively </w:t>
      </w:r>
      <w:r w:rsidRPr="00A16353">
        <w:rPr>
          <w:rFonts w:asciiTheme="minorHAnsi" w:hAnsiTheme="minorHAnsi"/>
        </w:rPr>
        <w:t xml:space="preserve">more optimistic about the future of the American economy, </w:t>
      </w:r>
      <w:r w:rsidR="007221A8">
        <w:rPr>
          <w:rFonts w:asciiTheme="minorHAnsi" w:hAnsiTheme="minorHAnsi"/>
        </w:rPr>
        <w:t>t</w:t>
      </w:r>
      <w:r w:rsidRPr="00A16353">
        <w:rPr>
          <w:rFonts w:asciiTheme="minorHAnsi" w:hAnsiTheme="minorHAnsi"/>
        </w:rPr>
        <w:t xml:space="preserve">he future of the job market, and their personal financial situation in the next year.  </w:t>
      </w:r>
    </w:p>
    <w:p w:rsidR="00D51D6B" w:rsidRPr="00A16353" w:rsidRDefault="00D51D6B" w:rsidP="00D51D6B">
      <w:pPr>
        <w:pStyle w:val="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900"/>
        <w:gridCol w:w="1008"/>
      </w:tblGrid>
      <w:tr w:rsidR="00D51D6B" w:rsidRPr="00A16353" w:rsidTr="001041CB">
        <w:tc>
          <w:tcPr>
            <w:tcW w:w="6948" w:type="dxa"/>
            <w:tcBorders>
              <w:top w:val="single" w:sz="4" w:space="0" w:color="auto"/>
              <w:left w:val="single" w:sz="4" w:space="0" w:color="auto"/>
              <w:bottom w:val="single" w:sz="4" w:space="0" w:color="auto"/>
              <w:right w:val="nil"/>
            </w:tcBorders>
            <w:shd w:val="clear" w:color="auto" w:fill="C6D9F1" w:themeFill="text2" w:themeFillTint="33"/>
            <w:vAlign w:val="center"/>
          </w:tcPr>
          <w:p w:rsidR="003416F4" w:rsidRPr="00851542" w:rsidRDefault="003416F4" w:rsidP="003416F4">
            <w:pPr>
              <w:rPr>
                <w:rFonts w:asciiTheme="minorHAnsi" w:hAnsiTheme="minorHAnsi"/>
                <w:sz w:val="28"/>
                <w:szCs w:val="28"/>
              </w:rPr>
            </w:pPr>
            <w:r w:rsidRPr="00851542">
              <w:rPr>
                <w:rFonts w:asciiTheme="minorHAnsi" w:hAnsiTheme="minorHAnsi"/>
                <w:sz w:val="28"/>
                <w:szCs w:val="28"/>
              </w:rPr>
              <w:t xml:space="preserve">Comparing Middle Tennessee Consumers to </w:t>
            </w:r>
          </w:p>
          <w:p w:rsidR="00D51D6B" w:rsidRPr="00851542" w:rsidRDefault="003416F4" w:rsidP="003416F4">
            <w:pPr>
              <w:rPr>
                <w:rFonts w:asciiTheme="minorHAnsi" w:hAnsiTheme="minorHAnsi"/>
                <w:sz w:val="28"/>
                <w:szCs w:val="28"/>
              </w:rPr>
            </w:pPr>
            <w:r w:rsidRPr="00851542">
              <w:rPr>
                <w:rFonts w:asciiTheme="minorHAnsi" w:hAnsiTheme="minorHAnsi"/>
                <w:sz w:val="28"/>
                <w:szCs w:val="28"/>
              </w:rPr>
              <w:t>Consumers Across the Country as a Whole</w:t>
            </w:r>
          </w:p>
        </w:tc>
        <w:tc>
          <w:tcPr>
            <w:tcW w:w="900" w:type="dxa"/>
            <w:tcBorders>
              <w:top w:val="single" w:sz="4" w:space="0" w:color="auto"/>
              <w:left w:val="nil"/>
              <w:bottom w:val="single" w:sz="4" w:space="0" w:color="auto"/>
              <w:right w:val="nil"/>
            </w:tcBorders>
            <w:shd w:val="clear" w:color="auto" w:fill="C6D9F1" w:themeFill="text2" w:themeFillTint="33"/>
          </w:tcPr>
          <w:p w:rsidR="00D51D6B" w:rsidRPr="00851542" w:rsidRDefault="00D51D6B" w:rsidP="00DF7588">
            <w:pPr>
              <w:jc w:val="center"/>
              <w:rPr>
                <w:rFonts w:asciiTheme="minorHAnsi" w:hAnsiTheme="minorHAnsi"/>
                <w:bCs/>
                <w:sz w:val="24"/>
                <w:szCs w:val="24"/>
              </w:rPr>
            </w:pP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Nation</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w:t>
            </w:r>
          </w:p>
        </w:tc>
        <w:tc>
          <w:tcPr>
            <w:tcW w:w="1008" w:type="dxa"/>
            <w:tcBorders>
              <w:top w:val="single" w:sz="4" w:space="0" w:color="auto"/>
              <w:left w:val="nil"/>
              <w:bottom w:val="single" w:sz="4" w:space="0" w:color="auto"/>
              <w:right w:val="single" w:sz="4" w:space="0" w:color="auto"/>
            </w:tcBorders>
            <w:shd w:val="clear" w:color="auto" w:fill="C6D9F1" w:themeFill="text2" w:themeFillTint="33"/>
          </w:tcPr>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Mid.</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Tenn.</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w:t>
            </w:r>
          </w:p>
        </w:tc>
      </w:tr>
      <w:tr w:rsidR="00D51D6B" w:rsidRPr="00A16353" w:rsidTr="00DF7588">
        <w:tc>
          <w:tcPr>
            <w:tcW w:w="6948" w:type="dxa"/>
            <w:tcBorders>
              <w:top w:val="single" w:sz="4" w:space="0" w:color="auto"/>
            </w:tcBorders>
          </w:tcPr>
          <w:p w:rsidR="00D51D6B" w:rsidRPr="00A16353" w:rsidRDefault="00D51D6B" w:rsidP="00DF7588">
            <w:pPr>
              <w:rPr>
                <w:rFonts w:asciiTheme="minorHAnsi" w:hAnsiTheme="minorHAnsi"/>
                <w:sz w:val="24"/>
              </w:rPr>
            </w:pPr>
            <w:r w:rsidRPr="00A16353">
              <w:rPr>
                <w:rFonts w:asciiTheme="minorHAnsi" w:hAnsiTheme="minorHAnsi"/>
                <w:sz w:val="24"/>
              </w:rPr>
              <w:t>Business conditions in the U.S. are good.</w:t>
            </w:r>
          </w:p>
        </w:tc>
        <w:tc>
          <w:tcPr>
            <w:tcW w:w="900" w:type="dxa"/>
            <w:tcBorders>
              <w:top w:val="single" w:sz="4" w:space="0" w:color="auto"/>
            </w:tcBorders>
          </w:tcPr>
          <w:p w:rsidR="00D51D6B" w:rsidRPr="00A16353" w:rsidRDefault="007221A8" w:rsidP="007221A8">
            <w:pPr>
              <w:jc w:val="center"/>
              <w:rPr>
                <w:rFonts w:asciiTheme="minorHAnsi" w:hAnsiTheme="minorHAnsi"/>
                <w:b/>
                <w:sz w:val="24"/>
              </w:rPr>
            </w:pPr>
            <w:r>
              <w:rPr>
                <w:rFonts w:asciiTheme="minorHAnsi" w:hAnsiTheme="minorHAnsi"/>
                <w:b/>
                <w:sz w:val="24"/>
              </w:rPr>
              <w:t>18</w:t>
            </w:r>
            <w:r w:rsidR="00D51D6B" w:rsidRPr="00A16353">
              <w:rPr>
                <w:rStyle w:val="FootnoteReference"/>
                <w:rFonts w:asciiTheme="minorHAnsi" w:hAnsiTheme="minorHAnsi"/>
                <w:b/>
                <w:sz w:val="24"/>
              </w:rPr>
              <w:footnoteReference w:id="2"/>
            </w:r>
          </w:p>
        </w:tc>
        <w:tc>
          <w:tcPr>
            <w:tcW w:w="1008" w:type="dxa"/>
            <w:tcBorders>
              <w:top w:val="single" w:sz="4" w:space="0" w:color="auto"/>
            </w:tcBorders>
          </w:tcPr>
          <w:p w:rsidR="00D51D6B" w:rsidRPr="00A16353" w:rsidRDefault="007221A8" w:rsidP="000F047A">
            <w:pPr>
              <w:jc w:val="center"/>
              <w:rPr>
                <w:rFonts w:asciiTheme="minorHAnsi" w:hAnsiTheme="minorHAnsi"/>
                <w:b/>
                <w:sz w:val="24"/>
              </w:rPr>
            </w:pPr>
            <w:r>
              <w:rPr>
                <w:rFonts w:asciiTheme="minorHAnsi" w:hAnsiTheme="minorHAnsi"/>
                <w:b/>
                <w:sz w:val="24"/>
              </w:rPr>
              <w:t>14</w:t>
            </w:r>
          </w:p>
        </w:tc>
      </w:tr>
      <w:tr w:rsidR="00D51D6B" w:rsidRPr="00A16353" w:rsidTr="001041CB">
        <w:tc>
          <w:tcPr>
            <w:tcW w:w="6948" w:type="dxa"/>
            <w:shd w:val="clear" w:color="auto" w:fill="DBE5F1" w:themeFill="accent1" w:themeFillTint="33"/>
          </w:tcPr>
          <w:p w:rsidR="00D51D6B" w:rsidRPr="00A16353" w:rsidRDefault="00D51D6B" w:rsidP="00DF7588">
            <w:pPr>
              <w:rPr>
                <w:rFonts w:asciiTheme="minorHAnsi" w:hAnsiTheme="minorHAnsi"/>
                <w:sz w:val="24"/>
              </w:rPr>
            </w:pPr>
            <w:r w:rsidRPr="00A16353">
              <w:rPr>
                <w:rFonts w:asciiTheme="minorHAnsi" w:hAnsiTheme="minorHAnsi"/>
                <w:sz w:val="24"/>
              </w:rPr>
              <w:t>Six months from now, business conditions in the U.S. will be better.</w:t>
            </w:r>
          </w:p>
        </w:tc>
        <w:tc>
          <w:tcPr>
            <w:tcW w:w="900" w:type="dxa"/>
            <w:shd w:val="clear" w:color="auto" w:fill="DBE5F1" w:themeFill="accent1" w:themeFillTint="33"/>
          </w:tcPr>
          <w:p w:rsidR="00D51D6B" w:rsidRPr="00A16353" w:rsidRDefault="007221A8" w:rsidP="0082033A">
            <w:pPr>
              <w:jc w:val="center"/>
              <w:rPr>
                <w:rFonts w:asciiTheme="minorHAnsi" w:hAnsiTheme="minorHAnsi"/>
                <w:b/>
                <w:sz w:val="24"/>
              </w:rPr>
            </w:pPr>
            <w:r>
              <w:rPr>
                <w:rFonts w:asciiTheme="minorHAnsi" w:hAnsiTheme="minorHAnsi"/>
                <w:b/>
                <w:sz w:val="24"/>
              </w:rPr>
              <w:t>20</w:t>
            </w:r>
          </w:p>
        </w:tc>
        <w:tc>
          <w:tcPr>
            <w:tcW w:w="1008" w:type="dxa"/>
            <w:shd w:val="clear" w:color="auto" w:fill="DBE5F1" w:themeFill="accent1" w:themeFillTint="33"/>
          </w:tcPr>
          <w:p w:rsidR="00D51D6B" w:rsidRPr="00A16353" w:rsidRDefault="007221A8" w:rsidP="0022136E">
            <w:pPr>
              <w:jc w:val="center"/>
              <w:rPr>
                <w:rFonts w:asciiTheme="minorHAnsi" w:hAnsiTheme="minorHAnsi"/>
                <w:b/>
                <w:sz w:val="24"/>
              </w:rPr>
            </w:pPr>
            <w:r>
              <w:rPr>
                <w:rFonts w:asciiTheme="minorHAnsi" w:hAnsiTheme="minorHAnsi"/>
                <w:b/>
                <w:sz w:val="24"/>
              </w:rPr>
              <w:t>30</w:t>
            </w:r>
          </w:p>
        </w:tc>
      </w:tr>
      <w:tr w:rsidR="00D51D6B" w:rsidRPr="00A16353" w:rsidTr="00DF7588">
        <w:tc>
          <w:tcPr>
            <w:tcW w:w="6948" w:type="dxa"/>
          </w:tcPr>
          <w:p w:rsidR="00D51D6B" w:rsidRPr="00A16353" w:rsidRDefault="00D51D6B" w:rsidP="00DF7588">
            <w:pPr>
              <w:rPr>
                <w:rFonts w:asciiTheme="minorHAnsi" w:hAnsiTheme="minorHAnsi"/>
                <w:sz w:val="24"/>
              </w:rPr>
            </w:pPr>
            <w:r w:rsidRPr="00A16353">
              <w:rPr>
                <w:rFonts w:asciiTheme="minorHAnsi" w:hAnsiTheme="minorHAnsi"/>
                <w:sz w:val="24"/>
              </w:rPr>
              <w:t>Jobs are easy to find (plentiful).</w:t>
            </w:r>
          </w:p>
        </w:tc>
        <w:tc>
          <w:tcPr>
            <w:tcW w:w="900" w:type="dxa"/>
          </w:tcPr>
          <w:p w:rsidR="00D51D6B" w:rsidRPr="00A16353" w:rsidRDefault="007221A8" w:rsidP="0059430D">
            <w:pPr>
              <w:jc w:val="center"/>
              <w:rPr>
                <w:rFonts w:asciiTheme="minorHAnsi" w:hAnsiTheme="minorHAnsi"/>
                <w:b/>
                <w:sz w:val="24"/>
              </w:rPr>
            </w:pPr>
            <w:r>
              <w:rPr>
                <w:rFonts w:asciiTheme="minorHAnsi" w:hAnsiTheme="minorHAnsi"/>
                <w:b/>
                <w:sz w:val="24"/>
              </w:rPr>
              <w:t>11</w:t>
            </w:r>
          </w:p>
        </w:tc>
        <w:tc>
          <w:tcPr>
            <w:tcW w:w="1008" w:type="dxa"/>
          </w:tcPr>
          <w:p w:rsidR="00D51D6B" w:rsidRPr="00A16353" w:rsidRDefault="007221A8" w:rsidP="000F047A">
            <w:pPr>
              <w:jc w:val="center"/>
              <w:rPr>
                <w:rFonts w:asciiTheme="minorHAnsi" w:hAnsiTheme="minorHAnsi"/>
                <w:b/>
                <w:sz w:val="24"/>
              </w:rPr>
            </w:pPr>
            <w:r>
              <w:rPr>
                <w:rFonts w:asciiTheme="minorHAnsi" w:hAnsiTheme="minorHAnsi"/>
                <w:b/>
                <w:sz w:val="24"/>
              </w:rPr>
              <w:t>8</w:t>
            </w:r>
          </w:p>
        </w:tc>
      </w:tr>
      <w:tr w:rsidR="00D51D6B" w:rsidRPr="00A16353" w:rsidTr="001041CB">
        <w:tc>
          <w:tcPr>
            <w:tcW w:w="6948" w:type="dxa"/>
            <w:shd w:val="clear" w:color="auto" w:fill="DBE5F1" w:themeFill="accent1" w:themeFillTint="33"/>
          </w:tcPr>
          <w:p w:rsidR="00D51D6B" w:rsidRPr="00A16353" w:rsidRDefault="00D51D6B" w:rsidP="00DF7588">
            <w:pPr>
              <w:rPr>
                <w:rFonts w:asciiTheme="minorHAnsi" w:hAnsiTheme="minorHAnsi"/>
                <w:sz w:val="24"/>
              </w:rPr>
            </w:pPr>
            <w:r w:rsidRPr="00A16353">
              <w:rPr>
                <w:rFonts w:asciiTheme="minorHAnsi" w:hAnsiTheme="minorHAnsi"/>
                <w:sz w:val="24"/>
              </w:rPr>
              <w:t>Six months from now, there will be more job openings.</w:t>
            </w:r>
          </w:p>
        </w:tc>
        <w:tc>
          <w:tcPr>
            <w:tcW w:w="900" w:type="dxa"/>
            <w:shd w:val="clear" w:color="auto" w:fill="DBE5F1" w:themeFill="accent1" w:themeFillTint="33"/>
          </w:tcPr>
          <w:p w:rsidR="00D51D6B" w:rsidRPr="00A16353" w:rsidRDefault="007221A8" w:rsidP="0082033A">
            <w:pPr>
              <w:jc w:val="center"/>
              <w:rPr>
                <w:rFonts w:asciiTheme="minorHAnsi" w:hAnsiTheme="minorHAnsi"/>
                <w:b/>
                <w:sz w:val="24"/>
              </w:rPr>
            </w:pPr>
            <w:r>
              <w:rPr>
                <w:rFonts w:asciiTheme="minorHAnsi" w:hAnsiTheme="minorHAnsi"/>
                <w:b/>
                <w:sz w:val="24"/>
              </w:rPr>
              <w:t>18</w:t>
            </w:r>
          </w:p>
        </w:tc>
        <w:tc>
          <w:tcPr>
            <w:tcW w:w="1008" w:type="dxa"/>
            <w:shd w:val="clear" w:color="auto" w:fill="DBE5F1" w:themeFill="accent1" w:themeFillTint="33"/>
          </w:tcPr>
          <w:p w:rsidR="00D51D6B" w:rsidRPr="00A16353" w:rsidRDefault="007221A8" w:rsidP="000F047A">
            <w:pPr>
              <w:jc w:val="center"/>
              <w:rPr>
                <w:rFonts w:asciiTheme="minorHAnsi" w:hAnsiTheme="minorHAnsi"/>
                <w:b/>
                <w:sz w:val="24"/>
              </w:rPr>
            </w:pPr>
            <w:r>
              <w:rPr>
                <w:rFonts w:asciiTheme="minorHAnsi" w:hAnsiTheme="minorHAnsi"/>
                <w:b/>
                <w:sz w:val="24"/>
              </w:rPr>
              <w:t>40</w:t>
            </w:r>
          </w:p>
        </w:tc>
      </w:tr>
      <w:tr w:rsidR="00D51D6B" w:rsidRPr="00A16353" w:rsidTr="00DF7588">
        <w:tc>
          <w:tcPr>
            <w:tcW w:w="6948" w:type="dxa"/>
          </w:tcPr>
          <w:p w:rsidR="00D51D6B" w:rsidRPr="00A16353" w:rsidRDefault="00D51D6B" w:rsidP="00DF7588">
            <w:pPr>
              <w:rPr>
                <w:rFonts w:asciiTheme="minorHAnsi" w:hAnsiTheme="minorHAnsi"/>
                <w:sz w:val="24"/>
              </w:rPr>
            </w:pPr>
            <w:r w:rsidRPr="00A16353">
              <w:rPr>
                <w:rFonts w:asciiTheme="minorHAnsi" w:hAnsiTheme="minorHAnsi"/>
                <w:sz w:val="24"/>
              </w:rPr>
              <w:t>In 12 months my personal financial situation (income) will be better.</w:t>
            </w:r>
          </w:p>
        </w:tc>
        <w:tc>
          <w:tcPr>
            <w:tcW w:w="900" w:type="dxa"/>
          </w:tcPr>
          <w:p w:rsidR="00D51D6B" w:rsidRPr="00A16353" w:rsidRDefault="007221A8" w:rsidP="0059430D">
            <w:pPr>
              <w:jc w:val="center"/>
              <w:rPr>
                <w:rFonts w:asciiTheme="minorHAnsi" w:hAnsiTheme="minorHAnsi"/>
                <w:b/>
                <w:sz w:val="24"/>
              </w:rPr>
            </w:pPr>
            <w:r>
              <w:rPr>
                <w:rFonts w:asciiTheme="minorHAnsi" w:hAnsiTheme="minorHAnsi"/>
                <w:b/>
                <w:sz w:val="24"/>
              </w:rPr>
              <w:t>17</w:t>
            </w:r>
          </w:p>
        </w:tc>
        <w:tc>
          <w:tcPr>
            <w:tcW w:w="1008" w:type="dxa"/>
          </w:tcPr>
          <w:p w:rsidR="00D51D6B" w:rsidRPr="00A16353" w:rsidRDefault="007221A8" w:rsidP="000F047A">
            <w:pPr>
              <w:jc w:val="center"/>
              <w:rPr>
                <w:rFonts w:asciiTheme="minorHAnsi" w:hAnsiTheme="minorHAnsi"/>
                <w:b/>
                <w:sz w:val="24"/>
              </w:rPr>
            </w:pPr>
            <w:r>
              <w:rPr>
                <w:rFonts w:asciiTheme="minorHAnsi" w:hAnsiTheme="minorHAnsi"/>
                <w:b/>
                <w:sz w:val="24"/>
              </w:rPr>
              <w:t>35</w:t>
            </w:r>
          </w:p>
        </w:tc>
      </w:tr>
    </w:tbl>
    <w:p w:rsidR="00993846" w:rsidRDefault="00993846" w:rsidP="00D51D6B">
      <w:pPr>
        <w:pStyle w:val="BodyText"/>
        <w:jc w:val="both"/>
        <w:rPr>
          <w:rFonts w:asciiTheme="minorHAnsi" w:hAnsiTheme="minorHAnsi"/>
          <w:b/>
          <w:bCs/>
          <w:u w:val="single"/>
        </w:rPr>
      </w:pPr>
    </w:p>
    <w:p w:rsidR="00E10F3A" w:rsidRDefault="00E10F3A" w:rsidP="00D51D6B">
      <w:pPr>
        <w:pStyle w:val="BodyText"/>
        <w:jc w:val="both"/>
        <w:rPr>
          <w:rFonts w:asciiTheme="minorHAnsi" w:hAnsiTheme="minorHAnsi"/>
          <w:b/>
          <w:bCs/>
          <w:u w:val="single"/>
        </w:rPr>
      </w:pPr>
    </w:p>
    <w:p w:rsidR="002F1853" w:rsidRDefault="002F1853" w:rsidP="00D51D6B">
      <w:pPr>
        <w:pStyle w:val="BodyText"/>
        <w:jc w:val="both"/>
        <w:rPr>
          <w:rFonts w:asciiTheme="minorHAnsi" w:hAnsiTheme="minorHAnsi"/>
          <w:b/>
          <w:bCs/>
          <w:u w:val="single"/>
        </w:rPr>
      </w:pPr>
    </w:p>
    <w:p w:rsidR="00D51D6B" w:rsidRPr="000D12D0" w:rsidRDefault="00D51D6B" w:rsidP="00D51D6B">
      <w:pPr>
        <w:pStyle w:val="BodyText"/>
        <w:jc w:val="both"/>
        <w:rPr>
          <w:rFonts w:asciiTheme="minorHAnsi" w:hAnsiTheme="minorHAnsi"/>
          <w:b/>
          <w:bCs/>
          <w:sz w:val="28"/>
          <w:szCs w:val="28"/>
          <w:u w:val="single"/>
        </w:rPr>
      </w:pPr>
      <w:r w:rsidRPr="000D12D0">
        <w:rPr>
          <w:rFonts w:asciiTheme="minorHAnsi" w:hAnsiTheme="minorHAnsi"/>
          <w:b/>
          <w:bCs/>
          <w:sz w:val="28"/>
          <w:szCs w:val="28"/>
          <w:u w:val="single"/>
        </w:rPr>
        <w:t>The Psychology of Consumers</w:t>
      </w:r>
    </w:p>
    <w:p w:rsidR="00D51D6B" w:rsidRPr="00A16353" w:rsidRDefault="00D51D6B" w:rsidP="00D51D6B">
      <w:pPr>
        <w:jc w:val="both"/>
        <w:rPr>
          <w:rFonts w:asciiTheme="minorHAnsi" w:hAnsiTheme="minorHAnsi"/>
          <w:bCs/>
          <w:sz w:val="24"/>
          <w:szCs w:val="24"/>
        </w:rPr>
      </w:pPr>
    </w:p>
    <w:p w:rsidR="00D51D6B" w:rsidRPr="00A16353" w:rsidRDefault="00D51D6B" w:rsidP="00D51D6B">
      <w:pPr>
        <w:pStyle w:val="BodyText"/>
        <w:jc w:val="both"/>
        <w:rPr>
          <w:rFonts w:asciiTheme="minorHAnsi" w:hAnsiTheme="minorHAnsi"/>
          <w:bCs/>
        </w:rPr>
      </w:pPr>
      <w:r w:rsidRPr="00A16353">
        <w:rPr>
          <w:rFonts w:asciiTheme="minorHAnsi" w:hAnsiTheme="minorHAnsi"/>
          <w:szCs w:val="24"/>
        </w:rPr>
        <w:t xml:space="preserve">     The</w:t>
      </w:r>
      <w:r w:rsidRPr="00A16353">
        <w:rPr>
          <w:rFonts w:asciiTheme="minorHAnsi" w:hAnsiTheme="minorHAnsi"/>
        </w:rPr>
        <w:t xml:space="preserve"> psychology of consumers can have dramatic effects on the future of the economy.  Consumer spending makes up two-thirds of the American economy.  Decreases in consumer </w:t>
      </w:r>
      <w:r w:rsidR="002F1853">
        <w:rPr>
          <w:rFonts w:asciiTheme="minorHAnsi" w:hAnsiTheme="minorHAnsi"/>
        </w:rPr>
        <w:t xml:space="preserve">outlook </w:t>
      </w:r>
      <w:r w:rsidRPr="00A16353">
        <w:rPr>
          <w:rFonts w:asciiTheme="minorHAnsi" w:hAnsiTheme="minorHAnsi"/>
        </w:rPr>
        <w:t xml:space="preserve">that translate into reduced purchasing patterns can have significant negative effects on the economy.  Conversely, increases in consumer </w:t>
      </w:r>
      <w:r w:rsidR="002F1853">
        <w:rPr>
          <w:rFonts w:asciiTheme="minorHAnsi" w:hAnsiTheme="minorHAnsi"/>
        </w:rPr>
        <w:t xml:space="preserve">outlook </w:t>
      </w:r>
      <w:r w:rsidRPr="00A16353">
        <w:rPr>
          <w:rFonts w:asciiTheme="minorHAnsi" w:hAnsiTheme="minorHAnsi"/>
        </w:rPr>
        <w:t xml:space="preserve">that translate into accelerated consumer spending can have significant positive effects on the economy.  When consumers begin to feel comfortable about the future of the economy and their own personal financial situation, they will increase their spending.  </w:t>
      </w:r>
      <w:r w:rsidRPr="00A16353">
        <w:rPr>
          <w:rFonts w:asciiTheme="minorHAnsi" w:hAnsiTheme="minorHAnsi"/>
          <w:bCs/>
        </w:rPr>
        <w:t xml:space="preserve">Such spending would then help to grow the economy as </w:t>
      </w:r>
      <w:r w:rsidR="00761515">
        <w:rPr>
          <w:rFonts w:asciiTheme="minorHAnsi" w:hAnsiTheme="minorHAnsi"/>
          <w:bCs/>
        </w:rPr>
        <w:t xml:space="preserve">manufacturers begin to produce more and retailers begin to </w:t>
      </w:r>
      <w:r w:rsidRPr="00A16353">
        <w:rPr>
          <w:rFonts w:asciiTheme="minorHAnsi" w:hAnsiTheme="minorHAnsi"/>
          <w:bCs/>
        </w:rPr>
        <w:t>fill jobs to meet increased consumer demand.</w:t>
      </w:r>
      <w:r w:rsidR="00315469" w:rsidRPr="00A16353">
        <w:rPr>
          <w:rFonts w:asciiTheme="minorHAnsi" w:hAnsiTheme="minorHAnsi"/>
          <w:bCs/>
        </w:rPr>
        <w:t xml:space="preserve">  This type of self-fulfilling prophecy is illustrated below in the </w:t>
      </w:r>
      <w:r w:rsidR="00315469" w:rsidRPr="00B0737F">
        <w:rPr>
          <w:rFonts w:asciiTheme="minorHAnsi" w:hAnsiTheme="minorHAnsi"/>
          <w:bCs/>
          <w:i/>
        </w:rPr>
        <w:t>Consumer Confidence Cycle</w:t>
      </w:r>
      <w:r w:rsidR="00315469" w:rsidRPr="00A16353">
        <w:rPr>
          <w:rFonts w:asciiTheme="minorHAnsi" w:hAnsiTheme="minorHAnsi"/>
          <w:bCs/>
        </w:rPr>
        <w:t>.</w:t>
      </w:r>
      <w:r w:rsidRPr="00A16353">
        <w:rPr>
          <w:rFonts w:asciiTheme="minorHAnsi" w:hAnsiTheme="minorHAnsi"/>
          <w:bCs/>
        </w:rPr>
        <w:t xml:space="preserve"> </w:t>
      </w:r>
      <w:r w:rsidR="006B3840">
        <w:rPr>
          <w:rFonts w:asciiTheme="minorHAnsi" w:hAnsiTheme="minorHAnsi"/>
          <w:bCs/>
        </w:rPr>
        <w:t xml:space="preserve">    </w:t>
      </w:r>
    </w:p>
    <w:p w:rsidR="00D51D6B" w:rsidRPr="00A16353" w:rsidRDefault="00D51D6B" w:rsidP="00D51D6B">
      <w:pPr>
        <w:rPr>
          <w:rFonts w:asciiTheme="minorHAnsi" w:hAnsiTheme="minorHAnsi"/>
          <w:bCs/>
          <w:sz w:val="24"/>
        </w:rPr>
      </w:pPr>
    </w:p>
    <w:p w:rsidR="00315469" w:rsidRDefault="00315469" w:rsidP="00D75F8B">
      <w:pPr>
        <w:rPr>
          <w:bCs/>
          <w:sz w:val="24"/>
        </w:rPr>
      </w:pPr>
    </w:p>
    <w:p w:rsidR="00E1772C" w:rsidRDefault="00315469" w:rsidP="00D75F8B">
      <w:pPr>
        <w:rPr>
          <w:bCs/>
          <w:sz w:val="24"/>
        </w:rPr>
      </w:pPr>
      <w:r>
        <w:rPr>
          <w:bCs/>
          <w:sz w:val="24"/>
        </w:rPr>
        <w:br w:type="column"/>
      </w:r>
    </w:p>
    <w:p w:rsidR="00315469" w:rsidRPr="00B0737F" w:rsidRDefault="00315469" w:rsidP="00B0737F">
      <w:pPr>
        <w:jc w:val="center"/>
        <w:rPr>
          <w:rFonts w:asciiTheme="minorHAnsi" w:hAnsiTheme="minorHAnsi"/>
          <w:b/>
          <w:bCs/>
          <w:sz w:val="28"/>
          <w:szCs w:val="28"/>
        </w:rPr>
      </w:pPr>
      <w:r w:rsidRPr="00B0737F">
        <w:rPr>
          <w:rFonts w:asciiTheme="minorHAnsi" w:hAnsiTheme="minorHAnsi"/>
          <w:b/>
          <w:bCs/>
          <w:sz w:val="28"/>
          <w:szCs w:val="28"/>
        </w:rPr>
        <w:t>The Self-Fulfilling Prophecy of the Consumer Confidence Cycle</w:t>
      </w:r>
    </w:p>
    <w:p w:rsidR="00315469" w:rsidRPr="00A16353" w:rsidRDefault="00315469" w:rsidP="00D75F8B">
      <w:pPr>
        <w:rPr>
          <w:rFonts w:asciiTheme="minorHAnsi" w:hAnsiTheme="minorHAnsi"/>
          <w:bCs/>
          <w:sz w:val="24"/>
        </w:rPr>
      </w:pPr>
    </w:p>
    <w:p w:rsidR="00315469" w:rsidRPr="00A16353" w:rsidRDefault="00315469" w:rsidP="00D75F8B">
      <w:pPr>
        <w:rPr>
          <w:rFonts w:asciiTheme="minorHAnsi" w:hAnsiTheme="minorHAnsi"/>
          <w:bCs/>
          <w:sz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0"/>
        <w:gridCol w:w="4320"/>
      </w:tblGrid>
      <w:tr w:rsidR="00A16353" w:rsidRPr="00A16353" w:rsidTr="00DF7588">
        <w:tc>
          <w:tcPr>
            <w:tcW w:w="4428"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Optimism</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Pessimism</w:t>
            </w:r>
          </w:p>
        </w:tc>
      </w:tr>
      <w:tr w:rsidR="00315469" w:rsidRPr="00A16353" w:rsidTr="00DF7588">
        <w:tc>
          <w:tcPr>
            <w:tcW w:w="4428"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Cs/>
                <w:sz w:val="22"/>
                <w:szCs w:val="22"/>
              </w:rPr>
            </w:pPr>
          </w:p>
        </w:tc>
        <w:tc>
          <w:tcPr>
            <w:tcW w:w="4320"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more employees and purchase more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fewer employees and purchase less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more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fewer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more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fewer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Growing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Slowing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bl>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105183" w:rsidRPr="00F750BC" w:rsidRDefault="003C133F" w:rsidP="00105183">
      <w:pPr>
        <w:rPr>
          <w:rFonts w:asciiTheme="minorHAnsi" w:hAnsiTheme="minorHAnsi"/>
          <w:b/>
          <w:bCs/>
          <w:sz w:val="28"/>
          <w:szCs w:val="28"/>
          <w:u w:val="single"/>
        </w:rPr>
      </w:pPr>
      <w:r w:rsidRPr="00F750BC">
        <w:rPr>
          <w:rFonts w:asciiTheme="minorHAnsi" w:hAnsiTheme="minorHAnsi"/>
          <w:bCs/>
          <w:sz w:val="28"/>
          <w:szCs w:val="28"/>
        </w:rPr>
        <w:t xml:space="preserve"> </w:t>
      </w:r>
      <w:r w:rsidR="00105183" w:rsidRPr="00F750BC">
        <w:rPr>
          <w:rFonts w:asciiTheme="minorHAnsi" w:hAnsiTheme="minorHAnsi"/>
          <w:b/>
          <w:bCs/>
          <w:sz w:val="28"/>
          <w:szCs w:val="28"/>
          <w:u w:val="single"/>
        </w:rPr>
        <w:t>About the Survey</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results reported here are based on telephone interviews with</w:t>
      </w:r>
      <w:r w:rsidR="00C90EB0">
        <w:rPr>
          <w:rFonts w:asciiTheme="minorHAnsi" w:hAnsiTheme="minorHAnsi"/>
          <w:sz w:val="24"/>
        </w:rPr>
        <w:t xml:space="preserve"> 3</w:t>
      </w:r>
      <w:r w:rsidR="0062543B">
        <w:rPr>
          <w:rFonts w:asciiTheme="minorHAnsi" w:hAnsiTheme="minorHAnsi"/>
          <w:sz w:val="24"/>
        </w:rPr>
        <w:t>10</w:t>
      </w:r>
      <w:r w:rsidR="005326A4">
        <w:rPr>
          <w:rFonts w:asciiTheme="minorHAnsi" w:hAnsiTheme="minorHAnsi"/>
          <w:sz w:val="24"/>
        </w:rPr>
        <w:t xml:space="preserve"> </w:t>
      </w:r>
      <w:r w:rsidRPr="00A16353">
        <w:rPr>
          <w:rFonts w:asciiTheme="minorHAnsi" w:hAnsiTheme="minorHAnsi"/>
          <w:sz w:val="24"/>
        </w:rPr>
        <w:t>randomly selected adult residents, 18 years and older, from Davidson</w:t>
      </w:r>
      <w:r w:rsidR="00B0737F">
        <w:rPr>
          <w:rFonts w:asciiTheme="minorHAnsi" w:hAnsiTheme="minorHAnsi"/>
          <w:sz w:val="24"/>
        </w:rPr>
        <w:t xml:space="preserve"> County</w:t>
      </w:r>
      <w:r w:rsidRPr="00A16353">
        <w:rPr>
          <w:rFonts w:asciiTheme="minorHAnsi" w:hAnsiTheme="minorHAnsi"/>
          <w:sz w:val="24"/>
        </w:rPr>
        <w:t>, Rutherford</w:t>
      </w:r>
      <w:r w:rsidR="00B0737F">
        <w:rPr>
          <w:rFonts w:asciiTheme="minorHAnsi" w:hAnsiTheme="minorHAnsi"/>
          <w:sz w:val="24"/>
        </w:rPr>
        <w:t xml:space="preserve"> County</w:t>
      </w:r>
      <w:r w:rsidRPr="00A16353">
        <w:rPr>
          <w:rFonts w:asciiTheme="minorHAnsi" w:hAnsiTheme="minorHAnsi"/>
          <w:sz w:val="24"/>
        </w:rPr>
        <w:t xml:space="preserve"> and Williamson </w:t>
      </w:r>
      <w:r w:rsidR="00562F60">
        <w:rPr>
          <w:rFonts w:asciiTheme="minorHAnsi" w:hAnsiTheme="minorHAnsi"/>
          <w:sz w:val="24"/>
        </w:rPr>
        <w:t>C</w:t>
      </w:r>
      <w:r w:rsidRPr="00A16353">
        <w:rPr>
          <w:rFonts w:asciiTheme="minorHAnsi" w:hAnsiTheme="minorHAnsi"/>
          <w:sz w:val="24"/>
        </w:rPr>
        <w:t>ount</w:t>
      </w:r>
      <w:r w:rsidR="00B0737F">
        <w:rPr>
          <w:rFonts w:asciiTheme="minorHAnsi" w:hAnsiTheme="minorHAnsi"/>
          <w:sz w:val="24"/>
        </w:rPr>
        <w:t>y</w:t>
      </w:r>
      <w:r w:rsidRPr="00A16353">
        <w:rPr>
          <w:rFonts w:asciiTheme="minorHAnsi" w:hAnsiTheme="minorHAnsi"/>
          <w:sz w:val="24"/>
        </w:rPr>
        <w:t xml:space="preserve">.  Phone interviews were conducted </w:t>
      </w:r>
      <w:r w:rsidR="009C4C27" w:rsidRPr="00A16353">
        <w:rPr>
          <w:rFonts w:asciiTheme="minorHAnsi" w:hAnsiTheme="minorHAnsi"/>
          <w:sz w:val="24"/>
        </w:rPr>
        <w:t xml:space="preserve">between </w:t>
      </w:r>
      <w:r w:rsidR="001F7ED1" w:rsidRPr="00A16353">
        <w:rPr>
          <w:rFonts w:asciiTheme="minorHAnsi" w:hAnsiTheme="minorHAnsi"/>
          <w:sz w:val="24"/>
        </w:rPr>
        <w:t>4:</w:t>
      </w:r>
      <w:r w:rsidR="00500677">
        <w:rPr>
          <w:rFonts w:asciiTheme="minorHAnsi" w:hAnsiTheme="minorHAnsi"/>
          <w:sz w:val="24"/>
        </w:rPr>
        <w:t>0</w:t>
      </w:r>
      <w:r w:rsidR="001F7ED1" w:rsidRPr="00A16353">
        <w:rPr>
          <w:rFonts w:asciiTheme="minorHAnsi" w:hAnsiTheme="minorHAnsi"/>
          <w:sz w:val="24"/>
        </w:rPr>
        <w:t>0 pm an</w:t>
      </w:r>
      <w:r w:rsidR="00E32844" w:rsidRPr="00A16353">
        <w:rPr>
          <w:rFonts w:asciiTheme="minorHAnsi" w:hAnsiTheme="minorHAnsi"/>
          <w:sz w:val="24"/>
        </w:rPr>
        <w:t xml:space="preserve">d </w:t>
      </w:r>
      <w:r w:rsidR="002974AD" w:rsidRPr="00A16353">
        <w:rPr>
          <w:rFonts w:asciiTheme="minorHAnsi" w:hAnsiTheme="minorHAnsi"/>
          <w:sz w:val="24"/>
        </w:rPr>
        <w:t>8:</w:t>
      </w:r>
      <w:r w:rsidR="00500677">
        <w:rPr>
          <w:rFonts w:asciiTheme="minorHAnsi" w:hAnsiTheme="minorHAnsi"/>
          <w:sz w:val="24"/>
        </w:rPr>
        <w:t>0</w:t>
      </w:r>
      <w:r w:rsidR="002974AD" w:rsidRPr="00A16353">
        <w:rPr>
          <w:rFonts w:asciiTheme="minorHAnsi" w:hAnsiTheme="minorHAnsi"/>
          <w:sz w:val="24"/>
        </w:rPr>
        <w:t>0</w:t>
      </w:r>
      <w:r w:rsidR="00E32844" w:rsidRPr="00A16353">
        <w:rPr>
          <w:rFonts w:asciiTheme="minorHAnsi" w:hAnsiTheme="minorHAnsi"/>
          <w:sz w:val="24"/>
        </w:rPr>
        <w:t xml:space="preserve"> </w:t>
      </w:r>
      <w:r w:rsidRPr="00A16353">
        <w:rPr>
          <w:rFonts w:asciiTheme="minorHAnsi" w:hAnsiTheme="minorHAnsi"/>
          <w:sz w:val="24"/>
        </w:rPr>
        <w:t xml:space="preserve">pm </w:t>
      </w:r>
      <w:r w:rsidR="00073B05" w:rsidRPr="00A16353">
        <w:rPr>
          <w:rFonts w:asciiTheme="minorHAnsi" w:hAnsiTheme="minorHAnsi"/>
          <w:sz w:val="24"/>
        </w:rPr>
        <w:t xml:space="preserve">on </w:t>
      </w:r>
      <w:r w:rsidR="00FF2ECC">
        <w:rPr>
          <w:rFonts w:asciiTheme="minorHAnsi" w:hAnsiTheme="minorHAnsi"/>
          <w:sz w:val="24"/>
        </w:rPr>
        <w:t>Tuesday</w:t>
      </w:r>
      <w:r w:rsidR="002F1853">
        <w:rPr>
          <w:rFonts w:asciiTheme="minorHAnsi" w:hAnsiTheme="minorHAnsi"/>
          <w:sz w:val="24"/>
        </w:rPr>
        <w:t>,</w:t>
      </w:r>
      <w:r w:rsidR="00FF2ECC">
        <w:rPr>
          <w:rFonts w:asciiTheme="minorHAnsi" w:hAnsiTheme="minorHAnsi"/>
          <w:sz w:val="24"/>
        </w:rPr>
        <w:t xml:space="preserve"> </w:t>
      </w:r>
      <w:r w:rsidR="00500677">
        <w:rPr>
          <w:rFonts w:asciiTheme="minorHAnsi" w:hAnsiTheme="minorHAnsi"/>
          <w:sz w:val="24"/>
        </w:rPr>
        <w:t>September 10</w:t>
      </w:r>
      <w:r w:rsidR="002F1853">
        <w:rPr>
          <w:rFonts w:asciiTheme="minorHAnsi" w:hAnsiTheme="minorHAnsi"/>
          <w:sz w:val="24"/>
        </w:rPr>
        <w:t>,</w:t>
      </w:r>
      <w:r w:rsidR="00DA78F5">
        <w:rPr>
          <w:rFonts w:asciiTheme="minorHAnsi" w:hAnsiTheme="minorHAnsi"/>
          <w:sz w:val="24"/>
        </w:rPr>
        <w:t xml:space="preserve"> </w:t>
      </w:r>
      <w:r w:rsidR="00500677">
        <w:rPr>
          <w:rFonts w:asciiTheme="minorHAnsi" w:hAnsiTheme="minorHAnsi"/>
          <w:sz w:val="24"/>
        </w:rPr>
        <w:t xml:space="preserve">and </w:t>
      </w:r>
      <w:r w:rsidR="00DA78F5">
        <w:rPr>
          <w:rFonts w:asciiTheme="minorHAnsi" w:hAnsiTheme="minorHAnsi"/>
          <w:sz w:val="24"/>
        </w:rPr>
        <w:t xml:space="preserve">Thursday, </w:t>
      </w:r>
      <w:r w:rsidR="00500677">
        <w:rPr>
          <w:rFonts w:asciiTheme="minorHAnsi" w:hAnsiTheme="minorHAnsi"/>
          <w:sz w:val="24"/>
        </w:rPr>
        <w:t>September 12</w:t>
      </w:r>
      <w:r w:rsidR="00DA78F5">
        <w:rPr>
          <w:rFonts w:asciiTheme="minorHAnsi" w:hAnsiTheme="minorHAnsi"/>
          <w:sz w:val="24"/>
        </w:rPr>
        <w:t xml:space="preserve">.  </w:t>
      </w:r>
      <w:r w:rsidRPr="00A16353">
        <w:rPr>
          <w:rFonts w:asciiTheme="minorHAnsi" w:hAnsiTheme="minorHAnsi"/>
          <w:sz w:val="24"/>
        </w:rPr>
        <w:t>With a sample of</w:t>
      </w:r>
      <w:r w:rsidR="00741192">
        <w:rPr>
          <w:rFonts w:asciiTheme="minorHAnsi" w:hAnsiTheme="minorHAnsi"/>
          <w:sz w:val="24"/>
        </w:rPr>
        <w:t xml:space="preserve"> </w:t>
      </w:r>
      <w:r w:rsidR="00C25C98">
        <w:rPr>
          <w:rFonts w:asciiTheme="minorHAnsi" w:hAnsiTheme="minorHAnsi"/>
          <w:sz w:val="24"/>
        </w:rPr>
        <w:t>310</w:t>
      </w:r>
      <w:r w:rsidR="001E2C62">
        <w:rPr>
          <w:rFonts w:asciiTheme="minorHAnsi" w:hAnsiTheme="minorHAnsi"/>
          <w:sz w:val="24"/>
        </w:rPr>
        <w:t xml:space="preserve"> </w:t>
      </w:r>
      <w:r w:rsidRPr="00A16353">
        <w:rPr>
          <w:rFonts w:asciiTheme="minorHAnsi" w:hAnsiTheme="minorHAnsi"/>
          <w:sz w:val="24"/>
        </w:rPr>
        <w:t>people, we can say with 95% confidence that the amount of survey error due to taking a random sample instead of surveying all members of the population is ±</w:t>
      </w:r>
      <w:r w:rsidR="000D12D0">
        <w:rPr>
          <w:rFonts w:asciiTheme="minorHAnsi" w:hAnsiTheme="minorHAnsi"/>
          <w:sz w:val="24"/>
        </w:rPr>
        <w:t xml:space="preserve"> </w:t>
      </w:r>
      <w:r w:rsidR="00C25C98">
        <w:rPr>
          <w:rFonts w:asciiTheme="minorHAnsi" w:hAnsiTheme="minorHAnsi"/>
          <w:sz w:val="24"/>
        </w:rPr>
        <w:t>5.5</w:t>
      </w:r>
      <w:r w:rsidR="00FF2BE6" w:rsidRPr="00A16353">
        <w:rPr>
          <w:rFonts w:asciiTheme="minorHAnsi" w:hAnsiTheme="minorHAnsi"/>
          <w:sz w:val="24"/>
        </w:rPr>
        <w:t>%</w:t>
      </w:r>
      <w:r w:rsidRPr="00A16353">
        <w:rPr>
          <w:rFonts w:asciiTheme="minorHAnsi" w:hAnsiTheme="minorHAnsi"/>
          <w:sz w:val="24"/>
        </w:rPr>
        <w:t xml:space="preserve">.  Other factors such as problems with question wording and question interpretation can also </w:t>
      </w:r>
      <w:r w:rsidR="00AB6215" w:rsidRPr="00A16353">
        <w:rPr>
          <w:rFonts w:asciiTheme="minorHAnsi" w:hAnsiTheme="minorHAnsi"/>
          <w:sz w:val="24"/>
        </w:rPr>
        <w:t xml:space="preserve">introduce </w:t>
      </w:r>
      <w:r w:rsidRPr="00A16353">
        <w:rPr>
          <w:rFonts w:asciiTheme="minorHAnsi" w:hAnsiTheme="minorHAnsi"/>
          <w:sz w:val="24"/>
        </w:rPr>
        <w:t xml:space="preserve">additional bias or error into the results.  Results from the Middle Tennessee </w:t>
      </w:r>
      <w:r w:rsidR="001C6BB5">
        <w:rPr>
          <w:rFonts w:asciiTheme="minorHAnsi" w:hAnsiTheme="minorHAnsi"/>
          <w:sz w:val="24"/>
        </w:rPr>
        <w:t>C</w:t>
      </w:r>
      <w:r w:rsidRPr="00A16353">
        <w:rPr>
          <w:rFonts w:asciiTheme="minorHAnsi" w:hAnsiTheme="minorHAnsi"/>
          <w:sz w:val="24"/>
        </w:rPr>
        <w:t xml:space="preserve">onsumer </w:t>
      </w:r>
      <w:r w:rsidR="001C6BB5">
        <w:rPr>
          <w:rFonts w:asciiTheme="minorHAnsi" w:hAnsiTheme="minorHAnsi"/>
          <w:sz w:val="24"/>
        </w:rPr>
        <w:t>O</w:t>
      </w:r>
      <w:r w:rsidR="005E61A0">
        <w:rPr>
          <w:rFonts w:asciiTheme="minorHAnsi" w:hAnsiTheme="minorHAnsi"/>
          <w:sz w:val="24"/>
        </w:rPr>
        <w:t xml:space="preserve">utlook </w:t>
      </w:r>
      <w:r w:rsidR="001C6BB5">
        <w:rPr>
          <w:rFonts w:asciiTheme="minorHAnsi" w:hAnsiTheme="minorHAnsi"/>
          <w:sz w:val="24"/>
        </w:rPr>
        <w:t>S</w:t>
      </w:r>
      <w:r w:rsidRPr="00A16353">
        <w:rPr>
          <w:rFonts w:asciiTheme="minorHAnsi" w:hAnsiTheme="minorHAnsi"/>
          <w:sz w:val="24"/>
        </w:rPr>
        <w:t>urveys can be compared to national consumer surveys published monthly by the Conference Board (</w:t>
      </w:r>
      <w:hyperlink r:id="rId17" w:history="1">
        <w:r w:rsidRPr="00A16353">
          <w:rPr>
            <w:rStyle w:val="Hyperlink"/>
            <w:rFonts w:asciiTheme="minorHAnsi" w:hAnsiTheme="minorHAnsi"/>
            <w:sz w:val="24"/>
          </w:rPr>
          <w:t>www.conference-board.org</w:t>
        </w:r>
      </w:hyperlink>
      <w:r w:rsidRPr="00A16353">
        <w:rPr>
          <w:rFonts w:asciiTheme="minorHAnsi" w:hAnsiTheme="minorHAnsi"/>
          <w:sz w:val="24"/>
        </w:rPr>
        <w:t xml:space="preserve">).  This report is also available on the </w:t>
      </w:r>
      <w:r w:rsidR="001C6BB5">
        <w:rPr>
          <w:rFonts w:asciiTheme="minorHAnsi" w:hAnsiTheme="minorHAnsi"/>
          <w:sz w:val="24"/>
        </w:rPr>
        <w:t xml:space="preserve">MTSU </w:t>
      </w:r>
      <w:r w:rsidR="005027A9" w:rsidRPr="00A16353">
        <w:rPr>
          <w:rFonts w:asciiTheme="minorHAnsi" w:hAnsiTheme="minorHAnsi"/>
          <w:sz w:val="24"/>
        </w:rPr>
        <w:t xml:space="preserve">Office of Consumer Research </w:t>
      </w:r>
      <w:r w:rsidRPr="00A16353">
        <w:rPr>
          <w:rFonts w:asciiTheme="minorHAnsi" w:hAnsiTheme="minorHAnsi"/>
          <w:sz w:val="24"/>
        </w:rPr>
        <w:t>web page (</w:t>
      </w:r>
      <w:hyperlink r:id="rId18" w:history="1">
        <w:r w:rsidR="00566943" w:rsidRPr="004F6CD3">
          <w:rPr>
            <w:rStyle w:val="Hyperlink"/>
            <w:rFonts w:asciiTheme="minorHAnsi" w:hAnsiTheme="minorHAnsi"/>
            <w:sz w:val="24"/>
          </w:rPr>
          <w:t>www.mtsu.edu/consumer</w:t>
        </w:r>
      </w:hyperlink>
      <w:r w:rsidRPr="00A16353">
        <w:rPr>
          <w:rFonts w:asciiTheme="minorHAnsi" w:hAnsiTheme="minorHAnsi"/>
          <w:sz w:val="24"/>
        </w:rPr>
        <w:t xml:space="preserve">).   </w:t>
      </w:r>
    </w:p>
    <w:p w:rsidR="00993846" w:rsidRPr="00A16353" w:rsidRDefault="00993846" w:rsidP="009E29D4">
      <w:pPr>
        <w:jc w:val="both"/>
        <w:rPr>
          <w:rFonts w:asciiTheme="minorHAnsi" w:hAnsiTheme="minorHAnsi"/>
          <w:sz w:val="24"/>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w:t>
      </w:r>
      <w:r w:rsidR="00A07B8D">
        <w:rPr>
          <w:rFonts w:asciiTheme="minorHAnsi" w:hAnsiTheme="minorHAnsi"/>
          <w:sz w:val="24"/>
        </w:rPr>
        <w:t xml:space="preserve">Consumer </w:t>
      </w:r>
      <w:r w:rsidR="006C267E">
        <w:rPr>
          <w:rFonts w:asciiTheme="minorHAnsi" w:hAnsiTheme="minorHAnsi"/>
          <w:sz w:val="24"/>
        </w:rPr>
        <w:t>O</w:t>
      </w:r>
      <w:r w:rsidR="00A07B8D">
        <w:rPr>
          <w:rFonts w:asciiTheme="minorHAnsi" w:hAnsiTheme="minorHAnsi"/>
          <w:sz w:val="24"/>
        </w:rPr>
        <w:t xml:space="preserve">utlook </w:t>
      </w:r>
      <w:r w:rsidR="006C267E">
        <w:rPr>
          <w:rFonts w:asciiTheme="minorHAnsi" w:hAnsiTheme="minorHAnsi"/>
          <w:sz w:val="24"/>
        </w:rPr>
        <w:t>I</w:t>
      </w:r>
      <w:r w:rsidR="00A07B8D">
        <w:rPr>
          <w:rFonts w:asciiTheme="minorHAnsi" w:hAnsiTheme="minorHAnsi"/>
          <w:sz w:val="24"/>
        </w:rPr>
        <w:t>ndex</w:t>
      </w:r>
      <w:r w:rsidRPr="00A16353">
        <w:rPr>
          <w:rFonts w:asciiTheme="minorHAnsi" w:hAnsiTheme="minorHAnsi"/>
          <w:sz w:val="24"/>
        </w:rPr>
        <w:t xml:space="preserve"> is based on all 11</w:t>
      </w:r>
      <w:r w:rsidR="00EA6EAC" w:rsidRPr="00A16353">
        <w:rPr>
          <w:rFonts w:asciiTheme="minorHAnsi" w:hAnsiTheme="minorHAnsi"/>
          <w:sz w:val="24"/>
        </w:rPr>
        <w:t xml:space="preserve"> </w:t>
      </w:r>
      <w:r w:rsidRPr="00A16353">
        <w:rPr>
          <w:rFonts w:asciiTheme="minorHAnsi" w:hAnsiTheme="minorHAnsi"/>
          <w:sz w:val="24"/>
        </w:rPr>
        <w:t xml:space="preserve">survey questions outlined below.  The score is computed by adding the percentage of positive responses to each question, and subtracting the percentage of negative responses.  The </w:t>
      </w:r>
      <w:r w:rsidR="00993846" w:rsidRPr="00A16353">
        <w:rPr>
          <w:rFonts w:asciiTheme="minorHAnsi" w:hAnsiTheme="minorHAnsi"/>
          <w:sz w:val="24"/>
        </w:rPr>
        <w:t xml:space="preserve">Current </w:t>
      </w:r>
      <w:r w:rsidRPr="00A16353">
        <w:rPr>
          <w:rFonts w:asciiTheme="minorHAnsi" w:hAnsiTheme="minorHAnsi"/>
          <w:sz w:val="24"/>
        </w:rPr>
        <w:t xml:space="preserve">Situation Index is based on questions 1, 3, 5, and 7.  The Future Expectations Index is based on questions 2, 4, 6, and 8.  The Purchasing Index is based on questions 9, 10, and 11. </w:t>
      </w:r>
    </w:p>
    <w:p w:rsidR="00A25ED9" w:rsidRPr="00A16353" w:rsidRDefault="00A25ED9" w:rsidP="00105183">
      <w:pPr>
        <w:rPr>
          <w:rFonts w:asciiTheme="minorHAnsi" w:hAnsiTheme="minorHAnsi"/>
          <w:b/>
          <w:bCs/>
          <w:sz w:val="24"/>
          <w:u w:val="single"/>
        </w:rPr>
      </w:pPr>
    </w:p>
    <w:p w:rsidR="002B67F2" w:rsidRPr="00A16353" w:rsidRDefault="002B67F2" w:rsidP="00105183">
      <w:pPr>
        <w:rPr>
          <w:rFonts w:asciiTheme="minorHAnsi" w:hAnsiTheme="minorHAnsi"/>
          <w:b/>
          <w:bCs/>
          <w:sz w:val="24"/>
          <w:u w:val="single"/>
        </w:rPr>
      </w:pPr>
    </w:p>
    <w:p w:rsidR="00105183" w:rsidRPr="00F750BC" w:rsidRDefault="00105183" w:rsidP="00105183">
      <w:pPr>
        <w:rPr>
          <w:rFonts w:asciiTheme="minorHAnsi" w:hAnsiTheme="minorHAnsi"/>
          <w:b/>
          <w:bCs/>
          <w:sz w:val="28"/>
          <w:szCs w:val="28"/>
          <w:u w:val="single"/>
        </w:rPr>
      </w:pPr>
      <w:r w:rsidRPr="00F750BC">
        <w:rPr>
          <w:rFonts w:asciiTheme="minorHAnsi" w:hAnsiTheme="minorHAnsi"/>
          <w:b/>
          <w:bCs/>
          <w:sz w:val="28"/>
          <w:szCs w:val="28"/>
          <w:u w:val="single"/>
        </w:rPr>
        <w:t>About the Office of Consumer Research at MTSU</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w:t>
      </w:r>
      <w:r w:rsidR="00906A6F" w:rsidRPr="00A16353">
        <w:rPr>
          <w:rFonts w:asciiTheme="minorHAnsi" w:hAnsiTheme="minorHAnsi"/>
          <w:sz w:val="24"/>
        </w:rPr>
        <w:t>In 2000, t</w:t>
      </w:r>
      <w:r w:rsidRPr="00A16353">
        <w:rPr>
          <w:rFonts w:asciiTheme="minorHAnsi" w:hAnsiTheme="minorHAnsi"/>
          <w:sz w:val="24"/>
        </w:rPr>
        <w:t>he Management and Marketing Department at Middle Tennessee State University received funding from an MTSU Technology Access Fee grant to create a telephone survey research lab and the Office of Consumer Research to be housed in the department.  The Office of Consumer Research uses the telephone survey lab to conduct surveys of consumer</w:t>
      </w:r>
      <w:r w:rsidR="00EE0442">
        <w:rPr>
          <w:rFonts w:asciiTheme="minorHAnsi" w:hAnsiTheme="minorHAnsi"/>
          <w:sz w:val="24"/>
        </w:rPr>
        <w:t>s</w:t>
      </w:r>
      <w:r w:rsidRPr="00A16353">
        <w:rPr>
          <w:rFonts w:asciiTheme="minorHAnsi" w:hAnsiTheme="minorHAnsi"/>
          <w:sz w:val="24"/>
        </w:rPr>
        <w:t xml:space="preserve"> in Middle Tennessee.  The surveys measure consumers’ perceptions of economic conditions in the country as a whole as well as in Middle Tennessee.  Similar surveys conducted by the Conference Board and the Survey Research Center at the University of Michigan have been shown to be very predictive of key economic indicators such as inflation, interest rates and consumer spending.       </w:t>
      </w: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Students in Professor Timothy R. </w:t>
      </w:r>
      <w:proofErr w:type="spellStart"/>
      <w:r w:rsidRPr="00A16353">
        <w:rPr>
          <w:rFonts w:asciiTheme="minorHAnsi" w:hAnsiTheme="minorHAnsi"/>
          <w:sz w:val="24"/>
        </w:rPr>
        <w:t>Graeff’s</w:t>
      </w:r>
      <w:proofErr w:type="spellEnd"/>
      <w:r w:rsidRPr="00A16353">
        <w:rPr>
          <w:rFonts w:asciiTheme="minorHAnsi" w:hAnsiTheme="minorHAnsi"/>
          <w:sz w:val="24"/>
        </w:rPr>
        <w:t xml:space="preserve"> marketing research courses conduct the telephone surveys.  For further information contact Timothy R. Graeff, Professor of Marketing and Director, Office of Consumer Research (898-5124; </w:t>
      </w:r>
      <w:r w:rsidR="00E14DB2">
        <w:rPr>
          <w:rFonts w:asciiTheme="minorHAnsi" w:hAnsiTheme="minorHAnsi"/>
          <w:sz w:val="24"/>
        </w:rPr>
        <w:t>Tim.Graeff</w:t>
      </w:r>
      <w:r w:rsidRPr="00A16353">
        <w:rPr>
          <w:rFonts w:asciiTheme="minorHAnsi" w:hAnsiTheme="minorHAnsi"/>
          <w:sz w:val="24"/>
        </w:rPr>
        <w:t>@mtsu.edu).</w:t>
      </w:r>
    </w:p>
    <w:p w:rsidR="00FE663C" w:rsidRPr="00A16353" w:rsidRDefault="00FE663C" w:rsidP="00FF2BE6">
      <w:pPr>
        <w:rPr>
          <w:rFonts w:asciiTheme="minorHAnsi" w:hAnsiTheme="minorHAnsi"/>
          <w:b/>
          <w:bCs/>
          <w:sz w:val="24"/>
          <w:u w:val="single"/>
        </w:rPr>
      </w:pPr>
    </w:p>
    <w:p w:rsidR="0070502B" w:rsidRPr="001C6BB5" w:rsidRDefault="00EA1CA8">
      <w:pPr>
        <w:rPr>
          <w:rFonts w:asciiTheme="minorHAnsi" w:hAnsiTheme="minorHAnsi"/>
          <w:b/>
          <w:bCs/>
          <w:sz w:val="28"/>
          <w:szCs w:val="28"/>
          <w:u w:val="single"/>
        </w:rPr>
      </w:pPr>
      <w:r>
        <w:rPr>
          <w:rFonts w:asciiTheme="minorHAnsi" w:hAnsiTheme="minorHAnsi"/>
          <w:b/>
          <w:bCs/>
          <w:sz w:val="24"/>
          <w:u w:val="single"/>
        </w:rPr>
        <w:br w:type="column"/>
      </w:r>
      <w:r w:rsidR="0070502B" w:rsidRPr="001C6BB5">
        <w:rPr>
          <w:rFonts w:asciiTheme="minorHAnsi" w:hAnsiTheme="minorHAnsi"/>
          <w:b/>
          <w:bCs/>
          <w:sz w:val="28"/>
          <w:szCs w:val="28"/>
          <w:u w:val="single"/>
        </w:rPr>
        <w:lastRenderedPageBreak/>
        <w:t xml:space="preserve">The Middle Tennessee Consumer </w:t>
      </w:r>
      <w:r w:rsidR="00BC26BC" w:rsidRPr="001C6BB5">
        <w:rPr>
          <w:rFonts w:asciiTheme="minorHAnsi" w:hAnsiTheme="minorHAnsi"/>
          <w:b/>
          <w:bCs/>
          <w:sz w:val="28"/>
          <w:szCs w:val="28"/>
          <w:u w:val="single"/>
        </w:rPr>
        <w:t>Outlook</w:t>
      </w:r>
      <w:r w:rsidR="0070502B" w:rsidRPr="001C6BB5">
        <w:rPr>
          <w:rFonts w:asciiTheme="minorHAnsi" w:hAnsiTheme="minorHAnsi"/>
          <w:b/>
          <w:bCs/>
          <w:sz w:val="28"/>
          <w:szCs w:val="28"/>
          <w:u w:val="single"/>
        </w:rPr>
        <w:t xml:space="preserve"> Survey: </w:t>
      </w:r>
    </w:p>
    <w:p w:rsidR="002E038E" w:rsidRDefault="002E038E">
      <w:pPr>
        <w:rPr>
          <w:rFonts w:asciiTheme="minorHAnsi" w:hAnsiTheme="minorHAnsi"/>
          <w:b/>
          <w:bCs/>
          <w:sz w:val="24"/>
          <w:u w:val="single"/>
        </w:rPr>
      </w:pPr>
    </w:p>
    <w:p w:rsidR="002E038E" w:rsidRDefault="002E038E">
      <w:pPr>
        <w:rPr>
          <w:rFonts w:asciiTheme="minorHAnsi" w:hAnsiTheme="minorHAnsi"/>
          <w:bCs/>
          <w:sz w:val="24"/>
        </w:rPr>
      </w:pPr>
      <w:r w:rsidRPr="002E038E">
        <w:rPr>
          <w:rFonts w:asciiTheme="minorHAnsi" w:hAnsiTheme="minorHAnsi"/>
          <w:b/>
          <w:bCs/>
          <w:sz w:val="24"/>
        </w:rPr>
        <w:t>[</w:t>
      </w:r>
      <w:r w:rsidR="00566943">
        <w:rPr>
          <w:rFonts w:asciiTheme="minorHAnsi" w:hAnsiTheme="minorHAnsi"/>
          <w:b/>
          <w:bCs/>
          <w:sz w:val="24"/>
        </w:rPr>
        <w:t>C</w:t>
      </w:r>
      <w:r w:rsidRPr="002E038E">
        <w:rPr>
          <w:rFonts w:asciiTheme="minorHAnsi" w:hAnsiTheme="minorHAnsi"/>
          <w:b/>
          <w:bCs/>
          <w:sz w:val="24"/>
        </w:rPr>
        <w:t>]</w:t>
      </w:r>
      <w:r w:rsidRPr="002E038E">
        <w:rPr>
          <w:rFonts w:asciiTheme="minorHAnsi" w:hAnsiTheme="minorHAnsi"/>
          <w:bCs/>
          <w:sz w:val="24"/>
        </w:rPr>
        <w:t xml:space="preserve"> = included in the </w:t>
      </w:r>
      <w:r w:rsidR="00566943">
        <w:rPr>
          <w:rFonts w:asciiTheme="minorHAnsi" w:hAnsiTheme="minorHAnsi"/>
          <w:bCs/>
          <w:sz w:val="24"/>
        </w:rPr>
        <w:t>Current</w:t>
      </w:r>
      <w:r w:rsidRPr="002E038E">
        <w:rPr>
          <w:rFonts w:asciiTheme="minorHAnsi" w:hAnsiTheme="minorHAnsi"/>
          <w:bCs/>
          <w:sz w:val="24"/>
        </w:rPr>
        <w:t xml:space="preserve"> Situation Index</w:t>
      </w:r>
    </w:p>
    <w:p w:rsidR="002E038E" w:rsidRDefault="002E038E">
      <w:pPr>
        <w:rPr>
          <w:rFonts w:asciiTheme="minorHAnsi" w:hAnsiTheme="minorHAnsi"/>
          <w:bCs/>
          <w:sz w:val="24"/>
        </w:rPr>
      </w:pPr>
      <w:r w:rsidRPr="002E038E">
        <w:rPr>
          <w:rFonts w:asciiTheme="minorHAnsi" w:hAnsiTheme="minorHAnsi"/>
          <w:b/>
          <w:bCs/>
          <w:sz w:val="24"/>
        </w:rPr>
        <w:t xml:space="preserve">[F] </w:t>
      </w:r>
      <w:r w:rsidRPr="002E038E">
        <w:rPr>
          <w:rFonts w:asciiTheme="minorHAnsi" w:hAnsiTheme="minorHAnsi"/>
          <w:bCs/>
          <w:sz w:val="24"/>
        </w:rPr>
        <w:t xml:space="preserve">= included in the Future Expectations Index; </w:t>
      </w:r>
    </w:p>
    <w:p w:rsidR="002E038E" w:rsidRPr="002E038E" w:rsidRDefault="002E038E">
      <w:pPr>
        <w:rPr>
          <w:rFonts w:asciiTheme="minorHAnsi" w:hAnsiTheme="minorHAnsi"/>
          <w:bCs/>
          <w:sz w:val="24"/>
        </w:rPr>
      </w:pPr>
      <w:r w:rsidRPr="002E038E">
        <w:rPr>
          <w:rFonts w:asciiTheme="minorHAnsi" w:hAnsiTheme="minorHAnsi"/>
          <w:b/>
          <w:bCs/>
          <w:sz w:val="24"/>
        </w:rPr>
        <w:t>[P]</w:t>
      </w:r>
      <w:r w:rsidRPr="002E038E">
        <w:rPr>
          <w:rFonts w:asciiTheme="minorHAnsi" w:hAnsiTheme="minorHAnsi"/>
          <w:bCs/>
          <w:sz w:val="24"/>
        </w:rPr>
        <w:t xml:space="preserve"> = included in the Purchasing Situation Index</w:t>
      </w:r>
    </w:p>
    <w:p w:rsidR="0070502B" w:rsidRPr="00A16353" w:rsidRDefault="0070502B">
      <w:pPr>
        <w:rPr>
          <w:rFonts w:asciiTheme="minorHAnsi" w:hAnsiTheme="minorHAnsi"/>
          <w:sz w:val="24"/>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w:t>
      </w:r>
      <w:r w:rsidR="00566943">
        <w:rPr>
          <w:rFonts w:asciiTheme="minorHAnsi" w:eastAsia="MS Mincho" w:hAnsiTheme="minorHAnsi"/>
          <w:b/>
          <w:sz w:val="22"/>
          <w:szCs w:val="22"/>
        </w:rPr>
        <w:t>C</w:t>
      </w:r>
      <w:r w:rsidRPr="002E038E">
        <w:rPr>
          <w:rFonts w:asciiTheme="minorHAnsi" w:eastAsia="MS Mincho" w:hAnsiTheme="minorHAnsi"/>
          <w:b/>
          <w:sz w:val="22"/>
          <w:szCs w:val="22"/>
        </w:rPr>
        <w:t>]</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Turning first to business conditions in the country as a whole, would you say that business conditions in the country as a whole are good, bad, or somewhere in between?</w:t>
      </w:r>
      <w:r>
        <w:rPr>
          <w:rFonts w:asciiTheme="minorHAnsi" w:eastAsia="MS Mincho" w:hAnsiTheme="minorHAnsi"/>
          <w:sz w:val="22"/>
          <w:szCs w:val="22"/>
        </w:rPr>
        <w:t xml:space="preserve"> </w:t>
      </w:r>
    </w:p>
    <w:p w:rsidR="0070502B" w:rsidRPr="00A16353" w:rsidRDefault="0070502B" w:rsidP="009E29D4">
      <w:pPr>
        <w:ind w:left="360"/>
        <w:jc w:val="both"/>
        <w:rPr>
          <w:rFonts w:asciiTheme="minorHAnsi" w:hAnsiTheme="minorHAnsi"/>
          <w:sz w:val="22"/>
          <w:szCs w:val="22"/>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[F]</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And how about 6 months from now, do you expect that in the country as a whole business conditions will be better than they are today, worse than they are today, or just about the same?</w:t>
      </w:r>
    </w:p>
    <w:p w:rsidR="0070502B" w:rsidRPr="00A16353" w:rsidRDefault="0070502B" w:rsidP="009E29D4">
      <w:pPr>
        <w:ind w:left="360"/>
        <w:jc w:val="both"/>
        <w:rPr>
          <w:rFonts w:asciiTheme="minorHAnsi" w:eastAsia="MS Mincho" w:hAnsiTheme="minorHAnsi"/>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business conditions in Middle Tennessee, would you say that business conditions in Middle Tennessee are good, bad,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And how about 6 months from now, do you expect that in Middle Tennessee business conditions will be better than they are today, worse than they are today, or just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the availability of jobs in Middle Tennessee, would you say that jobs are easy to find, can be found with effort, or hard to find?</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in the next 6 months, do you expect that in Middle Tennessee there will be more job openings than there are now, fewer job openings than there are now, or about the same number of job openings?</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We are interested in how people are getting along financially these days.  Would you say that you, and any family members living with you, are better off financially than you were a year ago, worse off financially than you were a year ago, or about the same?</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looking ahead, do you think that 12 months from now you, and any family members living with you, will be better off financially, worse off financially, or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About the big things people buy for their homes -- such as furniture, a refrigerator, stove, television, and things like that, generally speaking, do you think now is a good time for people to buy major household items, a bad time,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buying a house?  Is now a good time to buy a house, a bad time to buy a house,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0C3180" w:rsidRPr="00A16353" w:rsidRDefault="0070502B" w:rsidP="00F9126F">
      <w:pPr>
        <w:pStyle w:val="PlainText"/>
        <w:ind w:left="720" w:hanging="360"/>
        <w:jc w:val="both"/>
        <w:rPr>
          <w:rFonts w:asciiTheme="minorHAnsi" w:eastAsia="MS Mincho" w:hAnsiTheme="minorHAnsi" w:cs="Times New Roman"/>
          <w:sz w:val="22"/>
          <w:szCs w:val="22"/>
        </w:rPr>
      </w:pPr>
      <w:r w:rsidRPr="00A16353">
        <w:rPr>
          <w:rFonts w:asciiTheme="minorHAnsi" w:eastAsia="MS Mincho" w:hAnsiTheme="minorHAnsi" w:cs="Times New Roman"/>
          <w:sz w:val="22"/>
          <w:szCs w:val="22"/>
        </w:rPr>
        <w:t xml:space="preserve">11. </w:t>
      </w:r>
      <w:r w:rsidR="002E038E" w:rsidRPr="002E038E">
        <w:rPr>
          <w:rFonts w:asciiTheme="minorHAnsi" w:eastAsia="MS Mincho" w:hAnsiTheme="minorHAnsi" w:cs="Times New Roman"/>
          <w:b/>
          <w:sz w:val="22"/>
          <w:szCs w:val="22"/>
        </w:rPr>
        <w:t>[P]</w:t>
      </w:r>
      <w:r w:rsidR="002E038E">
        <w:rPr>
          <w:rFonts w:asciiTheme="minorHAnsi" w:eastAsia="MS Mincho" w:hAnsiTheme="minorHAnsi" w:cs="Times New Roman"/>
          <w:sz w:val="22"/>
          <w:szCs w:val="22"/>
        </w:rPr>
        <w:t xml:space="preserve"> </w:t>
      </w:r>
      <w:r w:rsidRPr="00A16353">
        <w:rPr>
          <w:rFonts w:asciiTheme="minorHAnsi" w:eastAsia="MS Mincho" w:hAnsiTheme="minorHAnsi" w:cs="Times New Roman"/>
          <w:sz w:val="22"/>
          <w:szCs w:val="22"/>
        </w:rPr>
        <w:t>How about buying a car?  Is now a good time to buy a car, a bad time to buy a car, or somewhere in between?</w:t>
      </w:r>
    </w:p>
    <w:p w:rsidR="008F3A00" w:rsidRDefault="008F3A00" w:rsidP="00497900">
      <w:pPr>
        <w:rPr>
          <w:rFonts w:eastAsia="MS Mincho"/>
        </w:rPr>
      </w:pPr>
    </w:p>
    <w:p w:rsidR="008F3A00" w:rsidRDefault="008F3A00" w:rsidP="00497900">
      <w:pPr>
        <w:rPr>
          <w:rFonts w:eastAsia="MS Mincho"/>
        </w:rPr>
      </w:pPr>
    </w:p>
    <w:p w:rsidR="00492AE3" w:rsidRDefault="00492AE3" w:rsidP="00497900">
      <w:pPr>
        <w:rPr>
          <w:rFonts w:eastAsia="MS Mincho"/>
        </w:rPr>
        <w:sectPr w:rsidR="00492AE3" w:rsidSect="00ED7F2F">
          <w:headerReference w:type="default" r:id="rId19"/>
          <w:footerReference w:type="even" r:id="rId20"/>
          <w:footerReference w:type="default" r:id="rId21"/>
          <w:pgSz w:w="12240" w:h="15840"/>
          <w:pgMar w:top="1296" w:right="1800" w:bottom="1152" w:left="1800" w:header="720" w:footer="720" w:gutter="0"/>
          <w:cols w:space="720"/>
          <w:docGrid w:linePitch="360"/>
        </w:sectPr>
      </w:pPr>
    </w:p>
    <w:p w:rsidR="008F3A00" w:rsidRPr="00606606" w:rsidRDefault="00B06511" w:rsidP="00B06511">
      <w:pPr>
        <w:jc w:val="center"/>
        <w:rPr>
          <w:rFonts w:asciiTheme="minorHAnsi" w:eastAsia="MS Mincho" w:hAnsiTheme="minorHAnsi"/>
          <w:b/>
          <w:sz w:val="36"/>
          <w:szCs w:val="36"/>
        </w:rPr>
      </w:pPr>
      <w:r w:rsidRPr="00606606">
        <w:rPr>
          <w:rFonts w:asciiTheme="minorHAnsi" w:eastAsia="MS Mincho" w:hAnsiTheme="minorHAnsi"/>
          <w:b/>
          <w:sz w:val="36"/>
          <w:szCs w:val="36"/>
        </w:rPr>
        <w:lastRenderedPageBreak/>
        <w:t xml:space="preserve">Middle Tennessee Consumer </w:t>
      </w:r>
      <w:r w:rsidR="00A07B8D">
        <w:rPr>
          <w:rFonts w:asciiTheme="minorHAnsi" w:eastAsia="MS Mincho" w:hAnsiTheme="minorHAnsi"/>
          <w:b/>
          <w:sz w:val="36"/>
          <w:szCs w:val="36"/>
        </w:rPr>
        <w:t>Outlook</w:t>
      </w:r>
      <w:r w:rsidRPr="00606606">
        <w:rPr>
          <w:rFonts w:asciiTheme="minorHAnsi" w:eastAsia="MS Mincho" w:hAnsiTheme="minorHAnsi"/>
          <w:b/>
          <w:sz w:val="36"/>
          <w:szCs w:val="36"/>
        </w:rPr>
        <w:t xml:space="preserve"> Index</w:t>
      </w:r>
    </w:p>
    <w:p w:rsidR="008F3A00" w:rsidRDefault="008F3A00" w:rsidP="00497900">
      <w:pPr>
        <w:rPr>
          <w:rFonts w:eastAsia="MS Mincho"/>
        </w:rPr>
      </w:pPr>
    </w:p>
    <w:p w:rsidR="008F3A00" w:rsidRDefault="008F3A00" w:rsidP="00497900">
      <w:pPr>
        <w:rPr>
          <w:rFonts w:eastAsia="MS Mincho"/>
        </w:rPr>
      </w:pPr>
    </w:p>
    <w:p w:rsidR="00497900" w:rsidRDefault="000B083F" w:rsidP="00606606">
      <w:pPr>
        <w:jc w:val="center"/>
        <w:rPr>
          <w:rFonts w:eastAsia="MS Mincho"/>
        </w:rPr>
      </w:pPr>
      <w:r>
        <w:rPr>
          <w:rFonts w:eastAsia="MS Mincho"/>
          <w:noProof/>
        </w:rPr>
        <w:drawing>
          <wp:inline distT="0" distB="0" distL="0" distR="0">
            <wp:extent cx="8489950" cy="47117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sectPr w:rsidR="00497900" w:rsidSect="00B06511">
      <w:pgSz w:w="15840" w:h="12240" w:orient="landscape"/>
      <w:pgMar w:top="1800" w:right="1296" w:bottom="18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31" w:rsidRDefault="00CD4331">
      <w:r>
        <w:separator/>
      </w:r>
    </w:p>
  </w:endnote>
  <w:endnote w:type="continuationSeparator" w:id="0">
    <w:p w:rsidR="00CD4331" w:rsidRDefault="00CD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42" w:rsidRDefault="00122342" w:rsidP="00177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2342" w:rsidRDefault="00122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122342">
      <w:tc>
        <w:tcPr>
          <w:tcW w:w="918" w:type="dxa"/>
        </w:tcPr>
        <w:p w:rsidR="00122342" w:rsidRDefault="00122342">
          <w:pPr>
            <w:pStyle w:val="Footer"/>
            <w:jc w:val="right"/>
            <w:rPr>
              <w:b/>
              <w:color w:val="4F81BD" w:themeColor="accent1"/>
              <w:sz w:val="32"/>
              <w:szCs w:val="32"/>
            </w:rPr>
          </w:pPr>
          <w:r>
            <w:fldChar w:fldCharType="begin"/>
          </w:r>
          <w:r>
            <w:instrText xml:space="preserve"> PAGE   \* MERGEFORMAT </w:instrText>
          </w:r>
          <w:r>
            <w:fldChar w:fldCharType="separate"/>
          </w:r>
          <w:r w:rsidR="00057488" w:rsidRPr="00057488">
            <w:rPr>
              <w:b/>
              <w:noProof/>
              <w:color w:val="4F81BD" w:themeColor="accent1"/>
              <w:sz w:val="32"/>
              <w:szCs w:val="32"/>
            </w:rPr>
            <w:t>7</w:t>
          </w:r>
          <w:r>
            <w:rPr>
              <w:b/>
              <w:noProof/>
              <w:color w:val="4F81BD" w:themeColor="accent1"/>
              <w:sz w:val="32"/>
              <w:szCs w:val="32"/>
            </w:rPr>
            <w:fldChar w:fldCharType="end"/>
          </w:r>
        </w:p>
      </w:tc>
      <w:tc>
        <w:tcPr>
          <w:tcW w:w="7938" w:type="dxa"/>
        </w:tcPr>
        <w:p w:rsidR="00122342" w:rsidRPr="00EB2F31" w:rsidRDefault="00122342" w:rsidP="00182CC7">
          <w:pPr>
            <w:pStyle w:val="Footer"/>
            <w:rPr>
              <w:rFonts w:asciiTheme="minorHAnsi" w:hAnsiTheme="minorHAnsi"/>
            </w:rPr>
          </w:pPr>
          <w:r w:rsidRPr="00EB2F31">
            <w:rPr>
              <w:rFonts w:asciiTheme="minorHAnsi" w:hAnsiTheme="minorHAnsi"/>
            </w:rPr>
            <w:t xml:space="preserve">Office of Consumer Research, Middle Tennessee State University: </w:t>
          </w:r>
          <w:r w:rsidRPr="00EB2F31">
            <w:rPr>
              <w:rFonts w:asciiTheme="minorHAnsi" w:hAnsiTheme="minorHAnsi"/>
              <w:u w:val="single"/>
            </w:rPr>
            <w:t>www.mtsu.edu/consumer</w:t>
          </w:r>
        </w:p>
      </w:tc>
    </w:tr>
  </w:tbl>
  <w:p w:rsidR="00122342" w:rsidRDefault="00122342" w:rsidP="00E1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31" w:rsidRDefault="00CD4331">
      <w:r>
        <w:separator/>
      </w:r>
    </w:p>
  </w:footnote>
  <w:footnote w:type="continuationSeparator" w:id="0">
    <w:p w:rsidR="00CD4331" w:rsidRDefault="00CD4331">
      <w:r>
        <w:continuationSeparator/>
      </w:r>
    </w:p>
  </w:footnote>
  <w:footnote w:id="1">
    <w:p w:rsidR="001D6128" w:rsidRDefault="001D6128" w:rsidP="001D6128">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The score is computed by adding the percentage of favorable responses to each question and </w:t>
      </w:r>
      <w:r>
        <w:rPr>
          <w:rFonts w:asciiTheme="minorHAnsi" w:hAnsiTheme="minorHAnsi"/>
        </w:rPr>
        <w:t>s</w:t>
      </w:r>
      <w:r w:rsidRPr="00A16353">
        <w:rPr>
          <w:rFonts w:asciiTheme="minorHAnsi" w:hAnsiTheme="minorHAnsi"/>
        </w:rPr>
        <w:t xml:space="preserve">ubtracting the percentage of negative responses to each question.  </w:t>
      </w:r>
    </w:p>
    <w:p w:rsidR="001D6128" w:rsidRPr="00A16353" w:rsidRDefault="001D6128" w:rsidP="001D6128">
      <w:pPr>
        <w:pStyle w:val="FootnoteText"/>
        <w:rPr>
          <w:rFonts w:asciiTheme="minorHAnsi" w:hAnsiTheme="minorHAnsi"/>
        </w:rPr>
      </w:pPr>
    </w:p>
  </w:footnote>
  <w:footnote w:id="2">
    <w:p w:rsidR="00122342" w:rsidRDefault="00122342" w:rsidP="00D51D6B">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Source: </w:t>
      </w:r>
      <w:r w:rsidR="00057488">
        <w:rPr>
          <w:rFonts w:asciiTheme="minorHAnsi" w:hAnsiTheme="minorHAnsi"/>
        </w:rPr>
        <w:t xml:space="preserve">August 27, </w:t>
      </w:r>
      <w:r>
        <w:rPr>
          <w:rFonts w:asciiTheme="minorHAnsi" w:hAnsiTheme="minorHAnsi"/>
        </w:rPr>
        <w:t>2013, “The Conference Board Consumer Confidence Index</w:t>
      </w:r>
      <w:r>
        <w:rPr>
          <w:rFonts w:asciiTheme="minorHAnsi" w:hAnsiTheme="minorHAnsi" w:cstheme="minorHAnsi"/>
        </w:rPr>
        <w:t>®</w:t>
      </w:r>
      <w:r>
        <w:rPr>
          <w:rFonts w:asciiTheme="minorHAnsi" w:hAnsiTheme="minorHAnsi"/>
        </w:rPr>
        <w:t xml:space="preserve"> </w:t>
      </w:r>
      <w:r w:rsidR="00057488">
        <w:rPr>
          <w:rFonts w:asciiTheme="minorHAnsi" w:hAnsiTheme="minorHAnsi"/>
        </w:rPr>
        <w:t xml:space="preserve">Increases </w:t>
      </w:r>
      <w:r w:rsidR="00057488">
        <w:rPr>
          <w:rFonts w:asciiTheme="minorHAnsi" w:hAnsiTheme="minorHAnsi"/>
        </w:rPr>
        <w:t>Slightly</w:t>
      </w:r>
      <w:bookmarkStart w:id="0" w:name="_GoBack"/>
      <w:bookmarkEnd w:id="0"/>
      <w:r>
        <w:rPr>
          <w:rFonts w:asciiTheme="minorHAnsi" w:hAnsiTheme="minorHAnsi"/>
        </w:rPr>
        <w:t xml:space="preserve">.” </w:t>
      </w:r>
      <w:r w:rsidRPr="00A16353">
        <w:rPr>
          <w:rFonts w:asciiTheme="minorHAnsi" w:hAnsiTheme="minorHAnsi"/>
        </w:rPr>
        <w:t>(</w:t>
      </w:r>
      <w:hyperlink r:id="rId1" w:history="1">
        <w:r w:rsidRPr="00A16353">
          <w:rPr>
            <w:rStyle w:val="Hyperlink"/>
            <w:rFonts w:asciiTheme="minorHAnsi" w:hAnsiTheme="minorHAnsi"/>
          </w:rPr>
          <w:t>www.conference-board.org</w:t>
        </w:r>
      </w:hyperlink>
      <w:r w:rsidRPr="00A16353">
        <w:rPr>
          <w:rFonts w:asciiTheme="minorHAnsi" w:hAnsiTheme="minorHAnsi"/>
        </w:rPr>
        <w:t xml:space="preserve">).   </w:t>
      </w:r>
    </w:p>
    <w:p w:rsidR="00122342" w:rsidRPr="00A16353" w:rsidRDefault="00122342" w:rsidP="00D51D6B">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55"/>
      <w:gridCol w:w="1915"/>
    </w:tblGrid>
    <w:tr w:rsidR="00122342" w:rsidTr="00182CC7">
      <w:trPr>
        <w:trHeight w:val="288"/>
      </w:trPr>
      <w:tc>
        <w:tcPr>
          <w:tcW w:w="6955" w:type="dxa"/>
        </w:tcPr>
        <w:p w:rsidR="00122342" w:rsidRPr="00EB2F31" w:rsidRDefault="00122342" w:rsidP="00985C05">
          <w:pPr>
            <w:pStyle w:val="Header"/>
            <w:jc w:val="right"/>
            <w:rPr>
              <w:rFonts w:asciiTheme="majorHAnsi" w:eastAsiaTheme="majorEastAsia" w:hAnsiTheme="majorHAnsi" w:cstheme="majorBidi"/>
              <w:sz w:val="24"/>
              <w:szCs w:val="24"/>
            </w:rPr>
          </w:pPr>
          <w:r w:rsidRPr="00EB2F31">
            <w:rPr>
              <w:rFonts w:asciiTheme="minorHAnsi" w:eastAsiaTheme="majorEastAsia" w:hAnsiTheme="minorHAnsi" w:cstheme="majorBidi"/>
            </w:rPr>
            <w:t xml:space="preserve">Middle Tennessee Consumer </w:t>
          </w:r>
          <w:r>
            <w:rPr>
              <w:rFonts w:asciiTheme="minorHAnsi" w:eastAsiaTheme="majorEastAsia" w:hAnsiTheme="minorHAnsi" w:cstheme="majorBidi"/>
            </w:rPr>
            <w:t xml:space="preserve">Outlook </w:t>
          </w:r>
          <w:r w:rsidRPr="00EB2F31">
            <w:rPr>
              <w:rFonts w:asciiTheme="minorHAnsi" w:eastAsiaTheme="majorEastAsia" w:hAnsiTheme="minorHAnsi" w:cstheme="majorBidi"/>
            </w:rPr>
            <w:t xml:space="preserve">Index     </w:t>
          </w:r>
          <w:r>
            <w:rPr>
              <w:rFonts w:asciiTheme="minorHAnsi" w:eastAsiaTheme="majorEastAsia" w:hAnsiTheme="minorHAnsi" w:cstheme="majorBidi"/>
            </w:rPr>
            <w:t xml:space="preserve">September  </w:t>
          </w:r>
        </w:p>
      </w:tc>
      <w:tc>
        <w:tcPr>
          <w:tcW w:w="1915" w:type="dxa"/>
        </w:tcPr>
        <w:p w:rsidR="00122342" w:rsidRPr="00EB2F31" w:rsidRDefault="00122342" w:rsidP="004C6631">
          <w:pPr>
            <w:pStyle w:val="Header"/>
            <w:rPr>
              <w:rFonts w:asciiTheme="majorHAnsi" w:eastAsiaTheme="majorEastAsia" w:hAnsiTheme="majorHAnsi" w:cstheme="majorBidi"/>
              <w:b/>
              <w:bCs/>
            </w:rPr>
          </w:pPr>
          <w:r w:rsidRPr="00EB2F31">
            <w:rPr>
              <w:rFonts w:asciiTheme="minorHAnsi" w:eastAsiaTheme="majorEastAsia" w:hAnsiTheme="minorHAnsi" w:cstheme="majorBidi"/>
              <w:b/>
              <w:bCs/>
            </w:rPr>
            <w:t>201</w:t>
          </w:r>
          <w:r>
            <w:rPr>
              <w:rFonts w:asciiTheme="minorHAnsi" w:eastAsiaTheme="majorEastAsia" w:hAnsiTheme="minorHAnsi" w:cstheme="majorBidi"/>
              <w:b/>
              <w:bCs/>
            </w:rPr>
            <w:t>3</w:t>
          </w:r>
        </w:p>
      </w:tc>
    </w:tr>
  </w:tbl>
  <w:p w:rsidR="00122342" w:rsidRDefault="00122342" w:rsidP="00E1772C">
    <w:pPr>
      <w:pStyle w:val="Header"/>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64"/>
    <w:multiLevelType w:val="hybridMultilevel"/>
    <w:tmpl w:val="009E1BF2"/>
    <w:lvl w:ilvl="0" w:tplc="2B8E4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6DA"/>
    <w:multiLevelType w:val="hybridMultilevel"/>
    <w:tmpl w:val="44221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72311"/>
    <w:multiLevelType w:val="hybridMultilevel"/>
    <w:tmpl w:val="0FE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488"/>
    <w:multiLevelType w:val="hybridMultilevel"/>
    <w:tmpl w:val="0424485E"/>
    <w:lvl w:ilvl="0" w:tplc="3D8215D0">
      <w:start w:val="1"/>
      <w:numFmt w:val="bullet"/>
      <w:lvlText w:val=""/>
      <w:lvlJc w:val="left"/>
      <w:pPr>
        <w:tabs>
          <w:tab w:val="num" w:pos="432"/>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F2228"/>
    <w:multiLevelType w:val="hybridMultilevel"/>
    <w:tmpl w:val="21005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4"/>
    <w:rsid w:val="000007A5"/>
    <w:rsid w:val="00000F4F"/>
    <w:rsid w:val="00003A2D"/>
    <w:rsid w:val="000040E0"/>
    <w:rsid w:val="000072AD"/>
    <w:rsid w:val="00011F2B"/>
    <w:rsid w:val="00012DA4"/>
    <w:rsid w:val="0001315C"/>
    <w:rsid w:val="000145A3"/>
    <w:rsid w:val="000150C9"/>
    <w:rsid w:val="00017ACF"/>
    <w:rsid w:val="0002229B"/>
    <w:rsid w:val="000227B0"/>
    <w:rsid w:val="00024521"/>
    <w:rsid w:val="00025EB6"/>
    <w:rsid w:val="000261F7"/>
    <w:rsid w:val="00031593"/>
    <w:rsid w:val="00032652"/>
    <w:rsid w:val="00033A45"/>
    <w:rsid w:val="0003400E"/>
    <w:rsid w:val="00036116"/>
    <w:rsid w:val="000371C0"/>
    <w:rsid w:val="00042E6D"/>
    <w:rsid w:val="000463D3"/>
    <w:rsid w:val="00051233"/>
    <w:rsid w:val="0005599C"/>
    <w:rsid w:val="00055B65"/>
    <w:rsid w:val="00056DC6"/>
    <w:rsid w:val="000570D2"/>
    <w:rsid w:val="00057488"/>
    <w:rsid w:val="00057F34"/>
    <w:rsid w:val="00060E48"/>
    <w:rsid w:val="00061B06"/>
    <w:rsid w:val="00067D56"/>
    <w:rsid w:val="00071D4A"/>
    <w:rsid w:val="00072761"/>
    <w:rsid w:val="00073B05"/>
    <w:rsid w:val="00075D28"/>
    <w:rsid w:val="0007741E"/>
    <w:rsid w:val="00077997"/>
    <w:rsid w:val="00081507"/>
    <w:rsid w:val="000824E1"/>
    <w:rsid w:val="0008282D"/>
    <w:rsid w:val="00082E56"/>
    <w:rsid w:val="0009131D"/>
    <w:rsid w:val="00091F2E"/>
    <w:rsid w:val="00092E33"/>
    <w:rsid w:val="0009562A"/>
    <w:rsid w:val="00096506"/>
    <w:rsid w:val="000A12F3"/>
    <w:rsid w:val="000A1496"/>
    <w:rsid w:val="000A32D9"/>
    <w:rsid w:val="000B083F"/>
    <w:rsid w:val="000B1534"/>
    <w:rsid w:val="000B497B"/>
    <w:rsid w:val="000B4B84"/>
    <w:rsid w:val="000B4FBA"/>
    <w:rsid w:val="000B5FFA"/>
    <w:rsid w:val="000C3180"/>
    <w:rsid w:val="000C44B8"/>
    <w:rsid w:val="000C5247"/>
    <w:rsid w:val="000C7BA4"/>
    <w:rsid w:val="000D09DE"/>
    <w:rsid w:val="000D12D0"/>
    <w:rsid w:val="000D419E"/>
    <w:rsid w:val="000E2219"/>
    <w:rsid w:val="000E2578"/>
    <w:rsid w:val="000E34D4"/>
    <w:rsid w:val="000E3961"/>
    <w:rsid w:val="000E4447"/>
    <w:rsid w:val="000E4704"/>
    <w:rsid w:val="000E5D29"/>
    <w:rsid w:val="000F047A"/>
    <w:rsid w:val="000F0990"/>
    <w:rsid w:val="000F2607"/>
    <w:rsid w:val="000F2E3D"/>
    <w:rsid w:val="000F3231"/>
    <w:rsid w:val="000F3DEC"/>
    <w:rsid w:val="000F4DBF"/>
    <w:rsid w:val="00101043"/>
    <w:rsid w:val="001029A1"/>
    <w:rsid w:val="001041CB"/>
    <w:rsid w:val="0010485D"/>
    <w:rsid w:val="00104CC5"/>
    <w:rsid w:val="00104F9F"/>
    <w:rsid w:val="00105183"/>
    <w:rsid w:val="00105937"/>
    <w:rsid w:val="00106BB1"/>
    <w:rsid w:val="00107B80"/>
    <w:rsid w:val="00112E8B"/>
    <w:rsid w:val="00113399"/>
    <w:rsid w:val="00113876"/>
    <w:rsid w:val="001142CF"/>
    <w:rsid w:val="00114F5D"/>
    <w:rsid w:val="00115386"/>
    <w:rsid w:val="00116738"/>
    <w:rsid w:val="001168FE"/>
    <w:rsid w:val="00116C15"/>
    <w:rsid w:val="00121BD3"/>
    <w:rsid w:val="00121FC3"/>
    <w:rsid w:val="00122342"/>
    <w:rsid w:val="00125541"/>
    <w:rsid w:val="001260DC"/>
    <w:rsid w:val="001266DE"/>
    <w:rsid w:val="00127E7A"/>
    <w:rsid w:val="00135090"/>
    <w:rsid w:val="00135989"/>
    <w:rsid w:val="00140EF4"/>
    <w:rsid w:val="00141231"/>
    <w:rsid w:val="001417F1"/>
    <w:rsid w:val="00145A12"/>
    <w:rsid w:val="00146F52"/>
    <w:rsid w:val="00147EDA"/>
    <w:rsid w:val="00150FC6"/>
    <w:rsid w:val="00154A7B"/>
    <w:rsid w:val="00157A8B"/>
    <w:rsid w:val="001602C2"/>
    <w:rsid w:val="00160734"/>
    <w:rsid w:val="00161E62"/>
    <w:rsid w:val="00163A5A"/>
    <w:rsid w:val="00165C57"/>
    <w:rsid w:val="00170B01"/>
    <w:rsid w:val="00170B9A"/>
    <w:rsid w:val="00170D94"/>
    <w:rsid w:val="001725BA"/>
    <w:rsid w:val="00173458"/>
    <w:rsid w:val="00173882"/>
    <w:rsid w:val="0017454B"/>
    <w:rsid w:val="0017690B"/>
    <w:rsid w:val="001777FC"/>
    <w:rsid w:val="00177D7C"/>
    <w:rsid w:val="00182CC7"/>
    <w:rsid w:val="00184CC5"/>
    <w:rsid w:val="00185CB4"/>
    <w:rsid w:val="00190BE9"/>
    <w:rsid w:val="00192302"/>
    <w:rsid w:val="0019270C"/>
    <w:rsid w:val="00197A8A"/>
    <w:rsid w:val="001A048A"/>
    <w:rsid w:val="001A19B2"/>
    <w:rsid w:val="001A1A56"/>
    <w:rsid w:val="001A22D8"/>
    <w:rsid w:val="001A3286"/>
    <w:rsid w:val="001A46E5"/>
    <w:rsid w:val="001A63D0"/>
    <w:rsid w:val="001B108C"/>
    <w:rsid w:val="001B1C3E"/>
    <w:rsid w:val="001B3DE5"/>
    <w:rsid w:val="001B40C9"/>
    <w:rsid w:val="001B6BCD"/>
    <w:rsid w:val="001C030A"/>
    <w:rsid w:val="001C1215"/>
    <w:rsid w:val="001C1DCC"/>
    <w:rsid w:val="001C4EB7"/>
    <w:rsid w:val="001C5388"/>
    <w:rsid w:val="001C6BB5"/>
    <w:rsid w:val="001D059A"/>
    <w:rsid w:val="001D182F"/>
    <w:rsid w:val="001D3539"/>
    <w:rsid w:val="001D574E"/>
    <w:rsid w:val="001D6128"/>
    <w:rsid w:val="001D714E"/>
    <w:rsid w:val="001E06A1"/>
    <w:rsid w:val="001E1FB6"/>
    <w:rsid w:val="001E2C62"/>
    <w:rsid w:val="001E2D42"/>
    <w:rsid w:val="001E3128"/>
    <w:rsid w:val="001E3199"/>
    <w:rsid w:val="001E79CE"/>
    <w:rsid w:val="001E7C74"/>
    <w:rsid w:val="001F284E"/>
    <w:rsid w:val="001F4354"/>
    <w:rsid w:val="001F5301"/>
    <w:rsid w:val="001F5A0D"/>
    <w:rsid w:val="001F5C7F"/>
    <w:rsid w:val="001F686D"/>
    <w:rsid w:val="001F7ED1"/>
    <w:rsid w:val="002042C2"/>
    <w:rsid w:val="00205F22"/>
    <w:rsid w:val="00206850"/>
    <w:rsid w:val="00207CF8"/>
    <w:rsid w:val="00210108"/>
    <w:rsid w:val="002116E2"/>
    <w:rsid w:val="002164BE"/>
    <w:rsid w:val="00220760"/>
    <w:rsid w:val="0022136E"/>
    <w:rsid w:val="0022312B"/>
    <w:rsid w:val="00223DD7"/>
    <w:rsid w:val="00225C18"/>
    <w:rsid w:val="00226789"/>
    <w:rsid w:val="0022726B"/>
    <w:rsid w:val="002273AC"/>
    <w:rsid w:val="00231B64"/>
    <w:rsid w:val="00231C18"/>
    <w:rsid w:val="00231DDA"/>
    <w:rsid w:val="002428DB"/>
    <w:rsid w:val="00242C00"/>
    <w:rsid w:val="002432C1"/>
    <w:rsid w:val="00245444"/>
    <w:rsid w:val="002459EB"/>
    <w:rsid w:val="0025000D"/>
    <w:rsid w:val="00251195"/>
    <w:rsid w:val="00254BD6"/>
    <w:rsid w:val="00255667"/>
    <w:rsid w:val="00255A5B"/>
    <w:rsid w:val="00255F17"/>
    <w:rsid w:val="00256CBB"/>
    <w:rsid w:val="002608A5"/>
    <w:rsid w:val="00260C6A"/>
    <w:rsid w:val="00261238"/>
    <w:rsid w:val="002638EB"/>
    <w:rsid w:val="0026446F"/>
    <w:rsid w:val="00267A52"/>
    <w:rsid w:val="00270734"/>
    <w:rsid w:val="0027265D"/>
    <w:rsid w:val="00273925"/>
    <w:rsid w:val="00277488"/>
    <w:rsid w:val="0028050A"/>
    <w:rsid w:val="00282C99"/>
    <w:rsid w:val="00282D9B"/>
    <w:rsid w:val="00283E0D"/>
    <w:rsid w:val="0028569D"/>
    <w:rsid w:val="0029184C"/>
    <w:rsid w:val="00291A59"/>
    <w:rsid w:val="002923FA"/>
    <w:rsid w:val="00293B4D"/>
    <w:rsid w:val="00293DFA"/>
    <w:rsid w:val="00294AE0"/>
    <w:rsid w:val="002974AD"/>
    <w:rsid w:val="00297604"/>
    <w:rsid w:val="002A1D00"/>
    <w:rsid w:val="002A26D8"/>
    <w:rsid w:val="002A32A3"/>
    <w:rsid w:val="002A5760"/>
    <w:rsid w:val="002A67EC"/>
    <w:rsid w:val="002B08A0"/>
    <w:rsid w:val="002B1FF3"/>
    <w:rsid w:val="002B2C22"/>
    <w:rsid w:val="002B3426"/>
    <w:rsid w:val="002B5A64"/>
    <w:rsid w:val="002B67F2"/>
    <w:rsid w:val="002B76D5"/>
    <w:rsid w:val="002C0CDC"/>
    <w:rsid w:val="002C1F03"/>
    <w:rsid w:val="002C2BB7"/>
    <w:rsid w:val="002C2E16"/>
    <w:rsid w:val="002C32BD"/>
    <w:rsid w:val="002C496A"/>
    <w:rsid w:val="002C5E02"/>
    <w:rsid w:val="002C5F55"/>
    <w:rsid w:val="002C6F2A"/>
    <w:rsid w:val="002C7E0D"/>
    <w:rsid w:val="002C7E20"/>
    <w:rsid w:val="002D006B"/>
    <w:rsid w:val="002D0598"/>
    <w:rsid w:val="002D1E06"/>
    <w:rsid w:val="002D1FC7"/>
    <w:rsid w:val="002D22C7"/>
    <w:rsid w:val="002D2DF4"/>
    <w:rsid w:val="002D3E27"/>
    <w:rsid w:val="002D53D6"/>
    <w:rsid w:val="002D652F"/>
    <w:rsid w:val="002E038E"/>
    <w:rsid w:val="002E0C93"/>
    <w:rsid w:val="002E2DAC"/>
    <w:rsid w:val="002F04CE"/>
    <w:rsid w:val="002F101C"/>
    <w:rsid w:val="002F14A9"/>
    <w:rsid w:val="002F176B"/>
    <w:rsid w:val="002F1853"/>
    <w:rsid w:val="002F5BB5"/>
    <w:rsid w:val="002F5F08"/>
    <w:rsid w:val="002F6834"/>
    <w:rsid w:val="002F7414"/>
    <w:rsid w:val="002F74EE"/>
    <w:rsid w:val="00301A4E"/>
    <w:rsid w:val="00301E61"/>
    <w:rsid w:val="00303944"/>
    <w:rsid w:val="0030402A"/>
    <w:rsid w:val="003113C8"/>
    <w:rsid w:val="00313761"/>
    <w:rsid w:val="00314252"/>
    <w:rsid w:val="00315469"/>
    <w:rsid w:val="00317840"/>
    <w:rsid w:val="00320666"/>
    <w:rsid w:val="00320E2E"/>
    <w:rsid w:val="00321B9E"/>
    <w:rsid w:val="00321F35"/>
    <w:rsid w:val="00322D52"/>
    <w:rsid w:val="00327ED0"/>
    <w:rsid w:val="00335063"/>
    <w:rsid w:val="003359D4"/>
    <w:rsid w:val="00340663"/>
    <w:rsid w:val="003416F4"/>
    <w:rsid w:val="003425D9"/>
    <w:rsid w:val="00342C3E"/>
    <w:rsid w:val="00342C60"/>
    <w:rsid w:val="0034564A"/>
    <w:rsid w:val="00345ED2"/>
    <w:rsid w:val="00347EB8"/>
    <w:rsid w:val="003517E0"/>
    <w:rsid w:val="00351B9E"/>
    <w:rsid w:val="00351F24"/>
    <w:rsid w:val="00354B9C"/>
    <w:rsid w:val="00355C32"/>
    <w:rsid w:val="0035630D"/>
    <w:rsid w:val="0035643A"/>
    <w:rsid w:val="00356BDC"/>
    <w:rsid w:val="003577A9"/>
    <w:rsid w:val="003600C3"/>
    <w:rsid w:val="00361FC1"/>
    <w:rsid w:val="00363C3A"/>
    <w:rsid w:val="00365398"/>
    <w:rsid w:val="00367795"/>
    <w:rsid w:val="00370DCC"/>
    <w:rsid w:val="00371D44"/>
    <w:rsid w:val="003735A6"/>
    <w:rsid w:val="0037475C"/>
    <w:rsid w:val="00380012"/>
    <w:rsid w:val="00381E32"/>
    <w:rsid w:val="00381E71"/>
    <w:rsid w:val="00382540"/>
    <w:rsid w:val="0038364E"/>
    <w:rsid w:val="00383A92"/>
    <w:rsid w:val="00390708"/>
    <w:rsid w:val="00391D1B"/>
    <w:rsid w:val="003935C6"/>
    <w:rsid w:val="00393723"/>
    <w:rsid w:val="00395AAC"/>
    <w:rsid w:val="00396B23"/>
    <w:rsid w:val="00396E7A"/>
    <w:rsid w:val="003974BD"/>
    <w:rsid w:val="003A0864"/>
    <w:rsid w:val="003A3CCF"/>
    <w:rsid w:val="003A68FC"/>
    <w:rsid w:val="003A6A52"/>
    <w:rsid w:val="003A7112"/>
    <w:rsid w:val="003A779B"/>
    <w:rsid w:val="003B1186"/>
    <w:rsid w:val="003B1889"/>
    <w:rsid w:val="003B282C"/>
    <w:rsid w:val="003B4C23"/>
    <w:rsid w:val="003B7D00"/>
    <w:rsid w:val="003C101C"/>
    <w:rsid w:val="003C133F"/>
    <w:rsid w:val="003C1AC6"/>
    <w:rsid w:val="003C3766"/>
    <w:rsid w:val="003C7285"/>
    <w:rsid w:val="003C7D6B"/>
    <w:rsid w:val="003D0250"/>
    <w:rsid w:val="003D0739"/>
    <w:rsid w:val="003D07F1"/>
    <w:rsid w:val="003D1F42"/>
    <w:rsid w:val="003D1FF2"/>
    <w:rsid w:val="003D545D"/>
    <w:rsid w:val="003E115F"/>
    <w:rsid w:val="003E179E"/>
    <w:rsid w:val="003E19F4"/>
    <w:rsid w:val="003E35CE"/>
    <w:rsid w:val="003E60AC"/>
    <w:rsid w:val="003E782C"/>
    <w:rsid w:val="003F041F"/>
    <w:rsid w:val="003F0978"/>
    <w:rsid w:val="003F0F0F"/>
    <w:rsid w:val="003F1682"/>
    <w:rsid w:val="003F42BE"/>
    <w:rsid w:val="003F6716"/>
    <w:rsid w:val="003F7B46"/>
    <w:rsid w:val="00400409"/>
    <w:rsid w:val="00400D94"/>
    <w:rsid w:val="004028B8"/>
    <w:rsid w:val="00405BCB"/>
    <w:rsid w:val="00410BED"/>
    <w:rsid w:val="00413904"/>
    <w:rsid w:val="00413FEB"/>
    <w:rsid w:val="004147FD"/>
    <w:rsid w:val="00415191"/>
    <w:rsid w:val="0041683C"/>
    <w:rsid w:val="00421A00"/>
    <w:rsid w:val="00421C43"/>
    <w:rsid w:val="00421D0F"/>
    <w:rsid w:val="0042273F"/>
    <w:rsid w:val="00422BE2"/>
    <w:rsid w:val="004237EA"/>
    <w:rsid w:val="004245C7"/>
    <w:rsid w:val="004246CD"/>
    <w:rsid w:val="0042570C"/>
    <w:rsid w:val="0042637E"/>
    <w:rsid w:val="00426E98"/>
    <w:rsid w:val="00430F04"/>
    <w:rsid w:val="00431AD9"/>
    <w:rsid w:val="00432CD0"/>
    <w:rsid w:val="00444552"/>
    <w:rsid w:val="004446CD"/>
    <w:rsid w:val="0044620B"/>
    <w:rsid w:val="0044766A"/>
    <w:rsid w:val="004507E7"/>
    <w:rsid w:val="00452A4D"/>
    <w:rsid w:val="00453B0F"/>
    <w:rsid w:val="00453FB1"/>
    <w:rsid w:val="00454711"/>
    <w:rsid w:val="00454876"/>
    <w:rsid w:val="00455054"/>
    <w:rsid w:val="0045680F"/>
    <w:rsid w:val="00456E34"/>
    <w:rsid w:val="004577DD"/>
    <w:rsid w:val="00460C7C"/>
    <w:rsid w:val="004631E8"/>
    <w:rsid w:val="0046324A"/>
    <w:rsid w:val="00463CC6"/>
    <w:rsid w:val="00464C39"/>
    <w:rsid w:val="00465448"/>
    <w:rsid w:val="0046736F"/>
    <w:rsid w:val="00467FAD"/>
    <w:rsid w:val="00474601"/>
    <w:rsid w:val="00477152"/>
    <w:rsid w:val="00480D3A"/>
    <w:rsid w:val="00481431"/>
    <w:rsid w:val="0048167A"/>
    <w:rsid w:val="0048301F"/>
    <w:rsid w:val="0048318A"/>
    <w:rsid w:val="0048484C"/>
    <w:rsid w:val="00484CEF"/>
    <w:rsid w:val="00486BAD"/>
    <w:rsid w:val="00487144"/>
    <w:rsid w:val="0048745E"/>
    <w:rsid w:val="00487D93"/>
    <w:rsid w:val="00492AE3"/>
    <w:rsid w:val="00492B5A"/>
    <w:rsid w:val="00493840"/>
    <w:rsid w:val="0049404A"/>
    <w:rsid w:val="004960A8"/>
    <w:rsid w:val="00497900"/>
    <w:rsid w:val="004A0ED7"/>
    <w:rsid w:val="004A1A29"/>
    <w:rsid w:val="004A2A09"/>
    <w:rsid w:val="004A7012"/>
    <w:rsid w:val="004B1E44"/>
    <w:rsid w:val="004B2F75"/>
    <w:rsid w:val="004B44E6"/>
    <w:rsid w:val="004B4DFC"/>
    <w:rsid w:val="004B4F70"/>
    <w:rsid w:val="004B5AFA"/>
    <w:rsid w:val="004C01BA"/>
    <w:rsid w:val="004C1B50"/>
    <w:rsid w:val="004C1E63"/>
    <w:rsid w:val="004C2CAC"/>
    <w:rsid w:val="004C2F21"/>
    <w:rsid w:val="004C397F"/>
    <w:rsid w:val="004C6631"/>
    <w:rsid w:val="004D0579"/>
    <w:rsid w:val="004D2E9E"/>
    <w:rsid w:val="004D52E3"/>
    <w:rsid w:val="004E3164"/>
    <w:rsid w:val="004F13A0"/>
    <w:rsid w:val="004F1E98"/>
    <w:rsid w:val="004F23CE"/>
    <w:rsid w:val="004F55D8"/>
    <w:rsid w:val="004F5C3E"/>
    <w:rsid w:val="004F5FA4"/>
    <w:rsid w:val="00500677"/>
    <w:rsid w:val="00501875"/>
    <w:rsid w:val="005027A9"/>
    <w:rsid w:val="00502D7A"/>
    <w:rsid w:val="005034A0"/>
    <w:rsid w:val="005041EC"/>
    <w:rsid w:val="005047C2"/>
    <w:rsid w:val="0050495F"/>
    <w:rsid w:val="00505174"/>
    <w:rsid w:val="005053AB"/>
    <w:rsid w:val="00507212"/>
    <w:rsid w:val="00510399"/>
    <w:rsid w:val="005167F3"/>
    <w:rsid w:val="00516A9C"/>
    <w:rsid w:val="00521631"/>
    <w:rsid w:val="0052454E"/>
    <w:rsid w:val="005255B8"/>
    <w:rsid w:val="00525FB0"/>
    <w:rsid w:val="00527F2A"/>
    <w:rsid w:val="0053077D"/>
    <w:rsid w:val="005308C2"/>
    <w:rsid w:val="005308C3"/>
    <w:rsid w:val="005313C9"/>
    <w:rsid w:val="005326A4"/>
    <w:rsid w:val="0053382C"/>
    <w:rsid w:val="00533D66"/>
    <w:rsid w:val="00534FDB"/>
    <w:rsid w:val="00535FA0"/>
    <w:rsid w:val="00536684"/>
    <w:rsid w:val="005400FF"/>
    <w:rsid w:val="0054070A"/>
    <w:rsid w:val="00542DBF"/>
    <w:rsid w:val="005461C9"/>
    <w:rsid w:val="00546A3A"/>
    <w:rsid w:val="005506DE"/>
    <w:rsid w:val="005519C2"/>
    <w:rsid w:val="00553416"/>
    <w:rsid w:val="00553AE1"/>
    <w:rsid w:val="005543D5"/>
    <w:rsid w:val="00554D44"/>
    <w:rsid w:val="00554EBA"/>
    <w:rsid w:val="00560463"/>
    <w:rsid w:val="0056164E"/>
    <w:rsid w:val="00561876"/>
    <w:rsid w:val="00561F6C"/>
    <w:rsid w:val="0056247B"/>
    <w:rsid w:val="00562F60"/>
    <w:rsid w:val="0056486C"/>
    <w:rsid w:val="00564941"/>
    <w:rsid w:val="00566943"/>
    <w:rsid w:val="00566CA1"/>
    <w:rsid w:val="00573C7D"/>
    <w:rsid w:val="00573EC8"/>
    <w:rsid w:val="00574A22"/>
    <w:rsid w:val="00576790"/>
    <w:rsid w:val="0058282E"/>
    <w:rsid w:val="00582C94"/>
    <w:rsid w:val="00582F15"/>
    <w:rsid w:val="005836C9"/>
    <w:rsid w:val="00587361"/>
    <w:rsid w:val="005905FE"/>
    <w:rsid w:val="00592B1E"/>
    <w:rsid w:val="00592BA8"/>
    <w:rsid w:val="00593A2C"/>
    <w:rsid w:val="0059430D"/>
    <w:rsid w:val="005978EA"/>
    <w:rsid w:val="005A0218"/>
    <w:rsid w:val="005A0E78"/>
    <w:rsid w:val="005A1D0D"/>
    <w:rsid w:val="005A2A08"/>
    <w:rsid w:val="005A50F4"/>
    <w:rsid w:val="005A79C9"/>
    <w:rsid w:val="005A7F41"/>
    <w:rsid w:val="005B3C4E"/>
    <w:rsid w:val="005B4418"/>
    <w:rsid w:val="005B45EF"/>
    <w:rsid w:val="005B4886"/>
    <w:rsid w:val="005B63B7"/>
    <w:rsid w:val="005C1B20"/>
    <w:rsid w:val="005C1C27"/>
    <w:rsid w:val="005C53EB"/>
    <w:rsid w:val="005C69DD"/>
    <w:rsid w:val="005C7A36"/>
    <w:rsid w:val="005D00A4"/>
    <w:rsid w:val="005D022E"/>
    <w:rsid w:val="005D1F4B"/>
    <w:rsid w:val="005D20F1"/>
    <w:rsid w:val="005D2D38"/>
    <w:rsid w:val="005D5B2B"/>
    <w:rsid w:val="005D7983"/>
    <w:rsid w:val="005E2A52"/>
    <w:rsid w:val="005E4856"/>
    <w:rsid w:val="005E61A0"/>
    <w:rsid w:val="005E6F12"/>
    <w:rsid w:val="005F1A8C"/>
    <w:rsid w:val="005F3826"/>
    <w:rsid w:val="0060076C"/>
    <w:rsid w:val="006047C8"/>
    <w:rsid w:val="00606606"/>
    <w:rsid w:val="00610A1E"/>
    <w:rsid w:val="00613500"/>
    <w:rsid w:val="006161B6"/>
    <w:rsid w:val="006171B9"/>
    <w:rsid w:val="0061763B"/>
    <w:rsid w:val="0061769D"/>
    <w:rsid w:val="006244C9"/>
    <w:rsid w:val="0062543B"/>
    <w:rsid w:val="00626C49"/>
    <w:rsid w:val="00627825"/>
    <w:rsid w:val="0063250B"/>
    <w:rsid w:val="00633891"/>
    <w:rsid w:val="006345F3"/>
    <w:rsid w:val="006362DE"/>
    <w:rsid w:val="00636ABC"/>
    <w:rsid w:val="00640625"/>
    <w:rsid w:val="00642992"/>
    <w:rsid w:val="00642AE7"/>
    <w:rsid w:val="00642D23"/>
    <w:rsid w:val="0064614F"/>
    <w:rsid w:val="006515ED"/>
    <w:rsid w:val="00654326"/>
    <w:rsid w:val="00655728"/>
    <w:rsid w:val="00655986"/>
    <w:rsid w:val="0066210B"/>
    <w:rsid w:val="00663307"/>
    <w:rsid w:val="006650EB"/>
    <w:rsid w:val="006658C6"/>
    <w:rsid w:val="006667EE"/>
    <w:rsid w:val="006673E9"/>
    <w:rsid w:val="00670B54"/>
    <w:rsid w:val="00671FC7"/>
    <w:rsid w:val="00676E29"/>
    <w:rsid w:val="00677021"/>
    <w:rsid w:val="00677708"/>
    <w:rsid w:val="0067787A"/>
    <w:rsid w:val="00683CB7"/>
    <w:rsid w:val="00683F0D"/>
    <w:rsid w:val="0068435B"/>
    <w:rsid w:val="00685E00"/>
    <w:rsid w:val="00685E2D"/>
    <w:rsid w:val="0069050E"/>
    <w:rsid w:val="0069376D"/>
    <w:rsid w:val="00694670"/>
    <w:rsid w:val="00695980"/>
    <w:rsid w:val="00696881"/>
    <w:rsid w:val="00697CC6"/>
    <w:rsid w:val="006A1374"/>
    <w:rsid w:val="006A2289"/>
    <w:rsid w:val="006A445E"/>
    <w:rsid w:val="006A4E8E"/>
    <w:rsid w:val="006A53FC"/>
    <w:rsid w:val="006A750C"/>
    <w:rsid w:val="006B3840"/>
    <w:rsid w:val="006B55A3"/>
    <w:rsid w:val="006B566D"/>
    <w:rsid w:val="006C267E"/>
    <w:rsid w:val="006C2688"/>
    <w:rsid w:val="006C28A8"/>
    <w:rsid w:val="006C2EC3"/>
    <w:rsid w:val="006C4756"/>
    <w:rsid w:val="006C6507"/>
    <w:rsid w:val="006D0B4F"/>
    <w:rsid w:val="006D361E"/>
    <w:rsid w:val="006D7383"/>
    <w:rsid w:val="006E0D25"/>
    <w:rsid w:val="006E3545"/>
    <w:rsid w:val="006E7732"/>
    <w:rsid w:val="006F1BFF"/>
    <w:rsid w:val="006F2550"/>
    <w:rsid w:val="00700BEB"/>
    <w:rsid w:val="00701F7A"/>
    <w:rsid w:val="007044AA"/>
    <w:rsid w:val="0070502B"/>
    <w:rsid w:val="00705656"/>
    <w:rsid w:val="0070586E"/>
    <w:rsid w:val="00706059"/>
    <w:rsid w:val="00706353"/>
    <w:rsid w:val="00706A0F"/>
    <w:rsid w:val="00706F95"/>
    <w:rsid w:val="00707F66"/>
    <w:rsid w:val="00710B02"/>
    <w:rsid w:val="007118AE"/>
    <w:rsid w:val="00716F5D"/>
    <w:rsid w:val="00717044"/>
    <w:rsid w:val="0072215C"/>
    <w:rsid w:val="007221A8"/>
    <w:rsid w:val="007224A1"/>
    <w:rsid w:val="00724284"/>
    <w:rsid w:val="007272CE"/>
    <w:rsid w:val="0073144A"/>
    <w:rsid w:val="00731484"/>
    <w:rsid w:val="007315AF"/>
    <w:rsid w:val="007319B9"/>
    <w:rsid w:val="00734564"/>
    <w:rsid w:val="0073620F"/>
    <w:rsid w:val="0073743A"/>
    <w:rsid w:val="00741192"/>
    <w:rsid w:val="007417E5"/>
    <w:rsid w:val="00742804"/>
    <w:rsid w:val="00744663"/>
    <w:rsid w:val="00746E96"/>
    <w:rsid w:val="00750063"/>
    <w:rsid w:val="007514F1"/>
    <w:rsid w:val="00752294"/>
    <w:rsid w:val="00753CE9"/>
    <w:rsid w:val="00761515"/>
    <w:rsid w:val="007627C1"/>
    <w:rsid w:val="007632CE"/>
    <w:rsid w:val="0077010F"/>
    <w:rsid w:val="0077108A"/>
    <w:rsid w:val="00771D03"/>
    <w:rsid w:val="0077282D"/>
    <w:rsid w:val="00774792"/>
    <w:rsid w:val="00775977"/>
    <w:rsid w:val="00776A06"/>
    <w:rsid w:val="00780F21"/>
    <w:rsid w:val="00781BC2"/>
    <w:rsid w:val="00783340"/>
    <w:rsid w:val="00784D88"/>
    <w:rsid w:val="007972BD"/>
    <w:rsid w:val="00797A34"/>
    <w:rsid w:val="007A2619"/>
    <w:rsid w:val="007A3F43"/>
    <w:rsid w:val="007A4C2B"/>
    <w:rsid w:val="007A5710"/>
    <w:rsid w:val="007B02AB"/>
    <w:rsid w:val="007B041F"/>
    <w:rsid w:val="007B0AE0"/>
    <w:rsid w:val="007B1A32"/>
    <w:rsid w:val="007B2101"/>
    <w:rsid w:val="007B3998"/>
    <w:rsid w:val="007B65BF"/>
    <w:rsid w:val="007C1CE7"/>
    <w:rsid w:val="007C3C61"/>
    <w:rsid w:val="007C4244"/>
    <w:rsid w:val="007C47FE"/>
    <w:rsid w:val="007C5518"/>
    <w:rsid w:val="007C5C5E"/>
    <w:rsid w:val="007C5F34"/>
    <w:rsid w:val="007C67E8"/>
    <w:rsid w:val="007C6976"/>
    <w:rsid w:val="007C7D8F"/>
    <w:rsid w:val="007D00C1"/>
    <w:rsid w:val="007D350E"/>
    <w:rsid w:val="007D5075"/>
    <w:rsid w:val="007D6BF3"/>
    <w:rsid w:val="007E0E30"/>
    <w:rsid w:val="007E280D"/>
    <w:rsid w:val="007E4401"/>
    <w:rsid w:val="007E55A2"/>
    <w:rsid w:val="007E7012"/>
    <w:rsid w:val="007E7ACF"/>
    <w:rsid w:val="007F2734"/>
    <w:rsid w:val="007F2A89"/>
    <w:rsid w:val="007F2C10"/>
    <w:rsid w:val="007F542A"/>
    <w:rsid w:val="007F5C7E"/>
    <w:rsid w:val="007F5E6D"/>
    <w:rsid w:val="007F668D"/>
    <w:rsid w:val="007F7EB7"/>
    <w:rsid w:val="00802581"/>
    <w:rsid w:val="008025F1"/>
    <w:rsid w:val="008036C5"/>
    <w:rsid w:val="0080465A"/>
    <w:rsid w:val="0080532D"/>
    <w:rsid w:val="00807AD8"/>
    <w:rsid w:val="0081051F"/>
    <w:rsid w:val="008122A1"/>
    <w:rsid w:val="00813954"/>
    <w:rsid w:val="00815382"/>
    <w:rsid w:val="00816412"/>
    <w:rsid w:val="00817E37"/>
    <w:rsid w:val="0082033A"/>
    <w:rsid w:val="00820BB1"/>
    <w:rsid w:val="008243A0"/>
    <w:rsid w:val="00827DF3"/>
    <w:rsid w:val="00830A15"/>
    <w:rsid w:val="00830E72"/>
    <w:rsid w:val="008327B0"/>
    <w:rsid w:val="008333CE"/>
    <w:rsid w:val="0083574A"/>
    <w:rsid w:val="00835AC3"/>
    <w:rsid w:val="00837F16"/>
    <w:rsid w:val="00840063"/>
    <w:rsid w:val="008400F8"/>
    <w:rsid w:val="008416A4"/>
    <w:rsid w:val="00841ACD"/>
    <w:rsid w:val="008433CC"/>
    <w:rsid w:val="00844680"/>
    <w:rsid w:val="00846685"/>
    <w:rsid w:val="00847832"/>
    <w:rsid w:val="00847DD3"/>
    <w:rsid w:val="00850639"/>
    <w:rsid w:val="00851542"/>
    <w:rsid w:val="008544A2"/>
    <w:rsid w:val="00854D4A"/>
    <w:rsid w:val="008604C3"/>
    <w:rsid w:val="00861204"/>
    <w:rsid w:val="008646AF"/>
    <w:rsid w:val="00870338"/>
    <w:rsid w:val="00870897"/>
    <w:rsid w:val="00871C82"/>
    <w:rsid w:val="008738D4"/>
    <w:rsid w:val="008744EE"/>
    <w:rsid w:val="0087498A"/>
    <w:rsid w:val="00876A18"/>
    <w:rsid w:val="00876D5A"/>
    <w:rsid w:val="0088074C"/>
    <w:rsid w:val="008809D7"/>
    <w:rsid w:val="00881187"/>
    <w:rsid w:val="008812B0"/>
    <w:rsid w:val="00883C5D"/>
    <w:rsid w:val="00891364"/>
    <w:rsid w:val="00891900"/>
    <w:rsid w:val="00892671"/>
    <w:rsid w:val="00892687"/>
    <w:rsid w:val="0089433D"/>
    <w:rsid w:val="00896B4D"/>
    <w:rsid w:val="008A5155"/>
    <w:rsid w:val="008A557E"/>
    <w:rsid w:val="008A55CA"/>
    <w:rsid w:val="008A757A"/>
    <w:rsid w:val="008B07CF"/>
    <w:rsid w:val="008B50C4"/>
    <w:rsid w:val="008B767B"/>
    <w:rsid w:val="008C483D"/>
    <w:rsid w:val="008C68FB"/>
    <w:rsid w:val="008C6FB5"/>
    <w:rsid w:val="008D0C3F"/>
    <w:rsid w:val="008D1183"/>
    <w:rsid w:val="008D1959"/>
    <w:rsid w:val="008D5AD9"/>
    <w:rsid w:val="008D5F5E"/>
    <w:rsid w:val="008D70F0"/>
    <w:rsid w:val="008D7786"/>
    <w:rsid w:val="008E1173"/>
    <w:rsid w:val="008E2EA5"/>
    <w:rsid w:val="008E49F9"/>
    <w:rsid w:val="008E5F50"/>
    <w:rsid w:val="008E7B5D"/>
    <w:rsid w:val="008F02C3"/>
    <w:rsid w:val="008F07FF"/>
    <w:rsid w:val="008F0B52"/>
    <w:rsid w:val="008F3A00"/>
    <w:rsid w:val="008F4CA8"/>
    <w:rsid w:val="008F4FE1"/>
    <w:rsid w:val="008F524D"/>
    <w:rsid w:val="008F533A"/>
    <w:rsid w:val="008F658F"/>
    <w:rsid w:val="009017D8"/>
    <w:rsid w:val="00902CCD"/>
    <w:rsid w:val="00906320"/>
    <w:rsid w:val="00906506"/>
    <w:rsid w:val="0090681D"/>
    <w:rsid w:val="00906A6F"/>
    <w:rsid w:val="00907ED2"/>
    <w:rsid w:val="0091082B"/>
    <w:rsid w:val="00911421"/>
    <w:rsid w:val="009124B0"/>
    <w:rsid w:val="0091272D"/>
    <w:rsid w:val="00912D00"/>
    <w:rsid w:val="00915325"/>
    <w:rsid w:val="0091589E"/>
    <w:rsid w:val="00916AF7"/>
    <w:rsid w:val="009173C5"/>
    <w:rsid w:val="00917C9D"/>
    <w:rsid w:val="00924931"/>
    <w:rsid w:val="009263A8"/>
    <w:rsid w:val="00927231"/>
    <w:rsid w:val="009274E8"/>
    <w:rsid w:val="00930277"/>
    <w:rsid w:val="009317A3"/>
    <w:rsid w:val="00933C5A"/>
    <w:rsid w:val="00933DBC"/>
    <w:rsid w:val="00934898"/>
    <w:rsid w:val="00935D3F"/>
    <w:rsid w:val="009361B7"/>
    <w:rsid w:val="009368D5"/>
    <w:rsid w:val="00940857"/>
    <w:rsid w:val="009423D9"/>
    <w:rsid w:val="009429E5"/>
    <w:rsid w:val="00943106"/>
    <w:rsid w:val="00946D3C"/>
    <w:rsid w:val="00947515"/>
    <w:rsid w:val="00950660"/>
    <w:rsid w:val="009520AB"/>
    <w:rsid w:val="00952F21"/>
    <w:rsid w:val="009532E3"/>
    <w:rsid w:val="00955190"/>
    <w:rsid w:val="00955AE1"/>
    <w:rsid w:val="009565D8"/>
    <w:rsid w:val="00961CD4"/>
    <w:rsid w:val="009639FD"/>
    <w:rsid w:val="00963A04"/>
    <w:rsid w:val="00967677"/>
    <w:rsid w:val="009677A0"/>
    <w:rsid w:val="00967E7D"/>
    <w:rsid w:val="00970BE7"/>
    <w:rsid w:val="0097170D"/>
    <w:rsid w:val="00972D87"/>
    <w:rsid w:val="009739F2"/>
    <w:rsid w:val="0097400D"/>
    <w:rsid w:val="00975FF6"/>
    <w:rsid w:val="00976A05"/>
    <w:rsid w:val="009771F1"/>
    <w:rsid w:val="009776EB"/>
    <w:rsid w:val="0097772C"/>
    <w:rsid w:val="00980020"/>
    <w:rsid w:val="0098153E"/>
    <w:rsid w:val="00982112"/>
    <w:rsid w:val="009821BD"/>
    <w:rsid w:val="009848AC"/>
    <w:rsid w:val="00985C05"/>
    <w:rsid w:val="009865F5"/>
    <w:rsid w:val="0098669A"/>
    <w:rsid w:val="00987BC0"/>
    <w:rsid w:val="00990106"/>
    <w:rsid w:val="00990948"/>
    <w:rsid w:val="00990F47"/>
    <w:rsid w:val="00991C57"/>
    <w:rsid w:val="00993846"/>
    <w:rsid w:val="00994A02"/>
    <w:rsid w:val="00994D7A"/>
    <w:rsid w:val="00996FCE"/>
    <w:rsid w:val="009A3EED"/>
    <w:rsid w:val="009B0620"/>
    <w:rsid w:val="009B1BF7"/>
    <w:rsid w:val="009B2792"/>
    <w:rsid w:val="009B72DD"/>
    <w:rsid w:val="009C0148"/>
    <w:rsid w:val="009C027C"/>
    <w:rsid w:val="009C093E"/>
    <w:rsid w:val="009C0F8F"/>
    <w:rsid w:val="009C36E0"/>
    <w:rsid w:val="009C3D59"/>
    <w:rsid w:val="009C4663"/>
    <w:rsid w:val="009C4C27"/>
    <w:rsid w:val="009C51C2"/>
    <w:rsid w:val="009C76FE"/>
    <w:rsid w:val="009C7928"/>
    <w:rsid w:val="009D0BF8"/>
    <w:rsid w:val="009D109D"/>
    <w:rsid w:val="009D26AE"/>
    <w:rsid w:val="009E2622"/>
    <w:rsid w:val="009E27AD"/>
    <w:rsid w:val="009E29D4"/>
    <w:rsid w:val="009E4D9D"/>
    <w:rsid w:val="009E4DF4"/>
    <w:rsid w:val="009E5F7E"/>
    <w:rsid w:val="009F2199"/>
    <w:rsid w:val="009F27C3"/>
    <w:rsid w:val="009F3947"/>
    <w:rsid w:val="00A0104E"/>
    <w:rsid w:val="00A06B42"/>
    <w:rsid w:val="00A07B8D"/>
    <w:rsid w:val="00A1004F"/>
    <w:rsid w:val="00A10DA2"/>
    <w:rsid w:val="00A16353"/>
    <w:rsid w:val="00A16F16"/>
    <w:rsid w:val="00A16FD1"/>
    <w:rsid w:val="00A209E8"/>
    <w:rsid w:val="00A23E99"/>
    <w:rsid w:val="00A250E6"/>
    <w:rsid w:val="00A25ED9"/>
    <w:rsid w:val="00A3089F"/>
    <w:rsid w:val="00A310CC"/>
    <w:rsid w:val="00A31C50"/>
    <w:rsid w:val="00A32490"/>
    <w:rsid w:val="00A32CF5"/>
    <w:rsid w:val="00A32F7C"/>
    <w:rsid w:val="00A33F25"/>
    <w:rsid w:val="00A35ADF"/>
    <w:rsid w:val="00A367D0"/>
    <w:rsid w:val="00A3703F"/>
    <w:rsid w:val="00A377D8"/>
    <w:rsid w:val="00A42725"/>
    <w:rsid w:val="00A4284E"/>
    <w:rsid w:val="00A50314"/>
    <w:rsid w:val="00A50D88"/>
    <w:rsid w:val="00A50F49"/>
    <w:rsid w:val="00A511D3"/>
    <w:rsid w:val="00A51E90"/>
    <w:rsid w:val="00A52DF9"/>
    <w:rsid w:val="00A535D1"/>
    <w:rsid w:val="00A53E0D"/>
    <w:rsid w:val="00A54ABF"/>
    <w:rsid w:val="00A54C6A"/>
    <w:rsid w:val="00A55F99"/>
    <w:rsid w:val="00A575A1"/>
    <w:rsid w:val="00A61862"/>
    <w:rsid w:val="00A63D5A"/>
    <w:rsid w:val="00A650D5"/>
    <w:rsid w:val="00A656C0"/>
    <w:rsid w:val="00A6712E"/>
    <w:rsid w:val="00A67796"/>
    <w:rsid w:val="00A70E67"/>
    <w:rsid w:val="00A72621"/>
    <w:rsid w:val="00A73EE4"/>
    <w:rsid w:val="00A74A11"/>
    <w:rsid w:val="00A7658D"/>
    <w:rsid w:val="00A77A40"/>
    <w:rsid w:val="00A80995"/>
    <w:rsid w:val="00A82997"/>
    <w:rsid w:val="00A84864"/>
    <w:rsid w:val="00A95021"/>
    <w:rsid w:val="00A958CF"/>
    <w:rsid w:val="00AA0281"/>
    <w:rsid w:val="00AA07CF"/>
    <w:rsid w:val="00AA2096"/>
    <w:rsid w:val="00AA2481"/>
    <w:rsid w:val="00AA286E"/>
    <w:rsid w:val="00AA5AD3"/>
    <w:rsid w:val="00AA5DA5"/>
    <w:rsid w:val="00AB11A5"/>
    <w:rsid w:val="00AB342D"/>
    <w:rsid w:val="00AB397F"/>
    <w:rsid w:val="00AB40A9"/>
    <w:rsid w:val="00AB6215"/>
    <w:rsid w:val="00AB6787"/>
    <w:rsid w:val="00AB6E06"/>
    <w:rsid w:val="00AB7C30"/>
    <w:rsid w:val="00AC43A3"/>
    <w:rsid w:val="00AC6506"/>
    <w:rsid w:val="00AD0202"/>
    <w:rsid w:val="00AD22B9"/>
    <w:rsid w:val="00AD2EA6"/>
    <w:rsid w:val="00AD3BAB"/>
    <w:rsid w:val="00AD4106"/>
    <w:rsid w:val="00AD6A3A"/>
    <w:rsid w:val="00AE05F7"/>
    <w:rsid w:val="00AE1079"/>
    <w:rsid w:val="00AE2FD6"/>
    <w:rsid w:val="00AE64F6"/>
    <w:rsid w:val="00AF0261"/>
    <w:rsid w:val="00AF02C6"/>
    <w:rsid w:val="00AF0E53"/>
    <w:rsid w:val="00AF228F"/>
    <w:rsid w:val="00AF671E"/>
    <w:rsid w:val="00B00BD0"/>
    <w:rsid w:val="00B0102F"/>
    <w:rsid w:val="00B02A7A"/>
    <w:rsid w:val="00B033AE"/>
    <w:rsid w:val="00B0528B"/>
    <w:rsid w:val="00B060D2"/>
    <w:rsid w:val="00B0650B"/>
    <w:rsid w:val="00B06511"/>
    <w:rsid w:val="00B06953"/>
    <w:rsid w:val="00B0737F"/>
    <w:rsid w:val="00B10699"/>
    <w:rsid w:val="00B1204B"/>
    <w:rsid w:val="00B131EA"/>
    <w:rsid w:val="00B1444D"/>
    <w:rsid w:val="00B15BAF"/>
    <w:rsid w:val="00B16607"/>
    <w:rsid w:val="00B17096"/>
    <w:rsid w:val="00B219F1"/>
    <w:rsid w:val="00B224EF"/>
    <w:rsid w:val="00B22D8D"/>
    <w:rsid w:val="00B22E11"/>
    <w:rsid w:val="00B25997"/>
    <w:rsid w:val="00B261CF"/>
    <w:rsid w:val="00B26639"/>
    <w:rsid w:val="00B31691"/>
    <w:rsid w:val="00B31783"/>
    <w:rsid w:val="00B333AF"/>
    <w:rsid w:val="00B3439E"/>
    <w:rsid w:val="00B361E9"/>
    <w:rsid w:val="00B36596"/>
    <w:rsid w:val="00B41102"/>
    <w:rsid w:val="00B413F8"/>
    <w:rsid w:val="00B42B02"/>
    <w:rsid w:val="00B43704"/>
    <w:rsid w:val="00B449CC"/>
    <w:rsid w:val="00B44B26"/>
    <w:rsid w:val="00B44B59"/>
    <w:rsid w:val="00B4601A"/>
    <w:rsid w:val="00B4603A"/>
    <w:rsid w:val="00B462A1"/>
    <w:rsid w:val="00B478BF"/>
    <w:rsid w:val="00B55575"/>
    <w:rsid w:val="00B56719"/>
    <w:rsid w:val="00B57B1E"/>
    <w:rsid w:val="00B6076A"/>
    <w:rsid w:val="00B60843"/>
    <w:rsid w:val="00B618EE"/>
    <w:rsid w:val="00B61D92"/>
    <w:rsid w:val="00B628CE"/>
    <w:rsid w:val="00B648BF"/>
    <w:rsid w:val="00B661BD"/>
    <w:rsid w:val="00B66F26"/>
    <w:rsid w:val="00B701A0"/>
    <w:rsid w:val="00B71D7E"/>
    <w:rsid w:val="00B759CE"/>
    <w:rsid w:val="00B7651F"/>
    <w:rsid w:val="00B80D46"/>
    <w:rsid w:val="00B84F3B"/>
    <w:rsid w:val="00B86046"/>
    <w:rsid w:val="00B8681A"/>
    <w:rsid w:val="00B86B97"/>
    <w:rsid w:val="00B901EA"/>
    <w:rsid w:val="00B93699"/>
    <w:rsid w:val="00B94B51"/>
    <w:rsid w:val="00B954E0"/>
    <w:rsid w:val="00B95C3C"/>
    <w:rsid w:val="00B9747F"/>
    <w:rsid w:val="00BA3118"/>
    <w:rsid w:val="00BA5758"/>
    <w:rsid w:val="00BA5ABC"/>
    <w:rsid w:val="00BA5B53"/>
    <w:rsid w:val="00BA63C3"/>
    <w:rsid w:val="00BB1A2A"/>
    <w:rsid w:val="00BB1BA0"/>
    <w:rsid w:val="00BC26BC"/>
    <w:rsid w:val="00BC5313"/>
    <w:rsid w:val="00BC5968"/>
    <w:rsid w:val="00BC5BB4"/>
    <w:rsid w:val="00BC606F"/>
    <w:rsid w:val="00BC6616"/>
    <w:rsid w:val="00BC6850"/>
    <w:rsid w:val="00BC6BAC"/>
    <w:rsid w:val="00BD2068"/>
    <w:rsid w:val="00BD3D7C"/>
    <w:rsid w:val="00BD42F4"/>
    <w:rsid w:val="00BD687F"/>
    <w:rsid w:val="00BD6A40"/>
    <w:rsid w:val="00BD7307"/>
    <w:rsid w:val="00BE0E77"/>
    <w:rsid w:val="00BE1D68"/>
    <w:rsid w:val="00BE209C"/>
    <w:rsid w:val="00BE46FC"/>
    <w:rsid w:val="00BE52E8"/>
    <w:rsid w:val="00BE5A9F"/>
    <w:rsid w:val="00BE639D"/>
    <w:rsid w:val="00BE6A7D"/>
    <w:rsid w:val="00BE6B4C"/>
    <w:rsid w:val="00BF3547"/>
    <w:rsid w:val="00BF45D5"/>
    <w:rsid w:val="00BF468A"/>
    <w:rsid w:val="00C02512"/>
    <w:rsid w:val="00C031DB"/>
    <w:rsid w:val="00C06989"/>
    <w:rsid w:val="00C10FE4"/>
    <w:rsid w:val="00C1123E"/>
    <w:rsid w:val="00C11718"/>
    <w:rsid w:val="00C14356"/>
    <w:rsid w:val="00C16A07"/>
    <w:rsid w:val="00C173AA"/>
    <w:rsid w:val="00C17EC4"/>
    <w:rsid w:val="00C201F4"/>
    <w:rsid w:val="00C210E3"/>
    <w:rsid w:val="00C24F83"/>
    <w:rsid w:val="00C251A5"/>
    <w:rsid w:val="00C25C98"/>
    <w:rsid w:val="00C27BF1"/>
    <w:rsid w:val="00C30209"/>
    <w:rsid w:val="00C34803"/>
    <w:rsid w:val="00C34D13"/>
    <w:rsid w:val="00C410DE"/>
    <w:rsid w:val="00C43194"/>
    <w:rsid w:val="00C4348A"/>
    <w:rsid w:val="00C45DAA"/>
    <w:rsid w:val="00C461C7"/>
    <w:rsid w:val="00C47731"/>
    <w:rsid w:val="00C53440"/>
    <w:rsid w:val="00C53E75"/>
    <w:rsid w:val="00C54C42"/>
    <w:rsid w:val="00C5758B"/>
    <w:rsid w:val="00C61017"/>
    <w:rsid w:val="00C61684"/>
    <w:rsid w:val="00C616AF"/>
    <w:rsid w:val="00C62958"/>
    <w:rsid w:val="00C63719"/>
    <w:rsid w:val="00C63D4F"/>
    <w:rsid w:val="00C64229"/>
    <w:rsid w:val="00C66EEF"/>
    <w:rsid w:val="00C67BD0"/>
    <w:rsid w:val="00C720CD"/>
    <w:rsid w:val="00C73A63"/>
    <w:rsid w:val="00C74185"/>
    <w:rsid w:val="00C75092"/>
    <w:rsid w:val="00C75332"/>
    <w:rsid w:val="00C76435"/>
    <w:rsid w:val="00C76DE2"/>
    <w:rsid w:val="00C770E3"/>
    <w:rsid w:val="00C82CF7"/>
    <w:rsid w:val="00C853C8"/>
    <w:rsid w:val="00C863B0"/>
    <w:rsid w:val="00C90AA6"/>
    <w:rsid w:val="00C90EB0"/>
    <w:rsid w:val="00C92252"/>
    <w:rsid w:val="00C9239D"/>
    <w:rsid w:val="00C94A1C"/>
    <w:rsid w:val="00C94B1F"/>
    <w:rsid w:val="00C95F52"/>
    <w:rsid w:val="00C97074"/>
    <w:rsid w:val="00CA0D29"/>
    <w:rsid w:val="00CA0DD5"/>
    <w:rsid w:val="00CA2309"/>
    <w:rsid w:val="00CA2FEF"/>
    <w:rsid w:val="00CA6499"/>
    <w:rsid w:val="00CA7602"/>
    <w:rsid w:val="00CA7F8F"/>
    <w:rsid w:val="00CB1418"/>
    <w:rsid w:val="00CB21F4"/>
    <w:rsid w:val="00CB2298"/>
    <w:rsid w:val="00CB25CE"/>
    <w:rsid w:val="00CB2800"/>
    <w:rsid w:val="00CB7F76"/>
    <w:rsid w:val="00CC37FD"/>
    <w:rsid w:val="00CD07B2"/>
    <w:rsid w:val="00CD09EB"/>
    <w:rsid w:val="00CD4331"/>
    <w:rsid w:val="00CD4DCE"/>
    <w:rsid w:val="00CE113A"/>
    <w:rsid w:val="00CE196D"/>
    <w:rsid w:val="00CE1B28"/>
    <w:rsid w:val="00CE2440"/>
    <w:rsid w:val="00CE25AA"/>
    <w:rsid w:val="00CE397C"/>
    <w:rsid w:val="00CE6F3F"/>
    <w:rsid w:val="00CF01A8"/>
    <w:rsid w:val="00CF0C9F"/>
    <w:rsid w:val="00CF1606"/>
    <w:rsid w:val="00D013D6"/>
    <w:rsid w:val="00D02919"/>
    <w:rsid w:val="00D030D3"/>
    <w:rsid w:val="00D053BC"/>
    <w:rsid w:val="00D06956"/>
    <w:rsid w:val="00D072B9"/>
    <w:rsid w:val="00D0766D"/>
    <w:rsid w:val="00D10A0D"/>
    <w:rsid w:val="00D10FBC"/>
    <w:rsid w:val="00D11C43"/>
    <w:rsid w:val="00D14F8A"/>
    <w:rsid w:val="00D15EB5"/>
    <w:rsid w:val="00D161C8"/>
    <w:rsid w:val="00D16608"/>
    <w:rsid w:val="00D16AAF"/>
    <w:rsid w:val="00D1752A"/>
    <w:rsid w:val="00D21C37"/>
    <w:rsid w:val="00D22D0E"/>
    <w:rsid w:val="00D274CD"/>
    <w:rsid w:val="00D304FA"/>
    <w:rsid w:val="00D31F1E"/>
    <w:rsid w:val="00D33602"/>
    <w:rsid w:val="00D359F4"/>
    <w:rsid w:val="00D36AF1"/>
    <w:rsid w:val="00D40077"/>
    <w:rsid w:val="00D422B4"/>
    <w:rsid w:val="00D4573D"/>
    <w:rsid w:val="00D46A37"/>
    <w:rsid w:val="00D5151B"/>
    <w:rsid w:val="00D5157D"/>
    <w:rsid w:val="00D51861"/>
    <w:rsid w:val="00D51D6B"/>
    <w:rsid w:val="00D52E0C"/>
    <w:rsid w:val="00D545E3"/>
    <w:rsid w:val="00D62C8E"/>
    <w:rsid w:val="00D62CAC"/>
    <w:rsid w:val="00D63BD9"/>
    <w:rsid w:val="00D6459B"/>
    <w:rsid w:val="00D649FB"/>
    <w:rsid w:val="00D65A88"/>
    <w:rsid w:val="00D7131C"/>
    <w:rsid w:val="00D73D12"/>
    <w:rsid w:val="00D755A2"/>
    <w:rsid w:val="00D75F8B"/>
    <w:rsid w:val="00D811F0"/>
    <w:rsid w:val="00D81614"/>
    <w:rsid w:val="00D8186F"/>
    <w:rsid w:val="00D81998"/>
    <w:rsid w:val="00D84E58"/>
    <w:rsid w:val="00D850E7"/>
    <w:rsid w:val="00D85D5E"/>
    <w:rsid w:val="00D85F55"/>
    <w:rsid w:val="00D8749B"/>
    <w:rsid w:val="00D92713"/>
    <w:rsid w:val="00D92EEA"/>
    <w:rsid w:val="00D92F6F"/>
    <w:rsid w:val="00D93BE6"/>
    <w:rsid w:val="00D95D23"/>
    <w:rsid w:val="00D96C1F"/>
    <w:rsid w:val="00DA47C4"/>
    <w:rsid w:val="00DA5B64"/>
    <w:rsid w:val="00DA78F5"/>
    <w:rsid w:val="00DB2898"/>
    <w:rsid w:val="00DB3E3F"/>
    <w:rsid w:val="00DB5421"/>
    <w:rsid w:val="00DB73EF"/>
    <w:rsid w:val="00DB78E3"/>
    <w:rsid w:val="00DC03BF"/>
    <w:rsid w:val="00DC23A2"/>
    <w:rsid w:val="00DC335A"/>
    <w:rsid w:val="00DC40E0"/>
    <w:rsid w:val="00DC4D45"/>
    <w:rsid w:val="00DC606C"/>
    <w:rsid w:val="00DC7425"/>
    <w:rsid w:val="00DD06D5"/>
    <w:rsid w:val="00DD0712"/>
    <w:rsid w:val="00DD0801"/>
    <w:rsid w:val="00DD341B"/>
    <w:rsid w:val="00DD371F"/>
    <w:rsid w:val="00DD4695"/>
    <w:rsid w:val="00DD7557"/>
    <w:rsid w:val="00DE0036"/>
    <w:rsid w:val="00DE1E13"/>
    <w:rsid w:val="00DE2D29"/>
    <w:rsid w:val="00DE2E22"/>
    <w:rsid w:val="00DE397F"/>
    <w:rsid w:val="00DE39F8"/>
    <w:rsid w:val="00DF460E"/>
    <w:rsid w:val="00DF4B37"/>
    <w:rsid w:val="00DF590B"/>
    <w:rsid w:val="00DF754A"/>
    <w:rsid w:val="00DF7588"/>
    <w:rsid w:val="00E00D7C"/>
    <w:rsid w:val="00E028A8"/>
    <w:rsid w:val="00E047F7"/>
    <w:rsid w:val="00E04989"/>
    <w:rsid w:val="00E05F3E"/>
    <w:rsid w:val="00E06841"/>
    <w:rsid w:val="00E104F5"/>
    <w:rsid w:val="00E10F3A"/>
    <w:rsid w:val="00E136EF"/>
    <w:rsid w:val="00E138B5"/>
    <w:rsid w:val="00E14124"/>
    <w:rsid w:val="00E14DB2"/>
    <w:rsid w:val="00E15071"/>
    <w:rsid w:val="00E164CF"/>
    <w:rsid w:val="00E16EA6"/>
    <w:rsid w:val="00E1772C"/>
    <w:rsid w:val="00E20394"/>
    <w:rsid w:val="00E20DDB"/>
    <w:rsid w:val="00E20EF5"/>
    <w:rsid w:val="00E2140D"/>
    <w:rsid w:val="00E2152E"/>
    <w:rsid w:val="00E21670"/>
    <w:rsid w:val="00E22498"/>
    <w:rsid w:val="00E25F36"/>
    <w:rsid w:val="00E266CE"/>
    <w:rsid w:val="00E31CD7"/>
    <w:rsid w:val="00E32844"/>
    <w:rsid w:val="00E43401"/>
    <w:rsid w:val="00E445B7"/>
    <w:rsid w:val="00E465E8"/>
    <w:rsid w:val="00E47D57"/>
    <w:rsid w:val="00E5265B"/>
    <w:rsid w:val="00E52E29"/>
    <w:rsid w:val="00E54718"/>
    <w:rsid w:val="00E60688"/>
    <w:rsid w:val="00E635AE"/>
    <w:rsid w:val="00E63A1F"/>
    <w:rsid w:val="00E64489"/>
    <w:rsid w:val="00E648FB"/>
    <w:rsid w:val="00E67D84"/>
    <w:rsid w:val="00E71FC6"/>
    <w:rsid w:val="00E732FD"/>
    <w:rsid w:val="00E75D57"/>
    <w:rsid w:val="00E778E5"/>
    <w:rsid w:val="00E81569"/>
    <w:rsid w:val="00E82CEA"/>
    <w:rsid w:val="00E83459"/>
    <w:rsid w:val="00E83AB0"/>
    <w:rsid w:val="00E8417A"/>
    <w:rsid w:val="00E85002"/>
    <w:rsid w:val="00E85EDB"/>
    <w:rsid w:val="00E87153"/>
    <w:rsid w:val="00E87448"/>
    <w:rsid w:val="00E93C48"/>
    <w:rsid w:val="00E96AAD"/>
    <w:rsid w:val="00E96C7F"/>
    <w:rsid w:val="00E974BB"/>
    <w:rsid w:val="00EA0BAD"/>
    <w:rsid w:val="00EA1CA8"/>
    <w:rsid w:val="00EA1E82"/>
    <w:rsid w:val="00EA21EF"/>
    <w:rsid w:val="00EA226A"/>
    <w:rsid w:val="00EA2A10"/>
    <w:rsid w:val="00EA5D82"/>
    <w:rsid w:val="00EA6EAC"/>
    <w:rsid w:val="00EB0106"/>
    <w:rsid w:val="00EB2F31"/>
    <w:rsid w:val="00EB4A0C"/>
    <w:rsid w:val="00EB56FB"/>
    <w:rsid w:val="00EB5E82"/>
    <w:rsid w:val="00EB6976"/>
    <w:rsid w:val="00EB7D68"/>
    <w:rsid w:val="00EB7FC4"/>
    <w:rsid w:val="00EC00BC"/>
    <w:rsid w:val="00EC0B8F"/>
    <w:rsid w:val="00EC177E"/>
    <w:rsid w:val="00EC33B4"/>
    <w:rsid w:val="00EC7C28"/>
    <w:rsid w:val="00EC7D8D"/>
    <w:rsid w:val="00ED0269"/>
    <w:rsid w:val="00ED1E1F"/>
    <w:rsid w:val="00ED7049"/>
    <w:rsid w:val="00ED7F2F"/>
    <w:rsid w:val="00EE0046"/>
    <w:rsid w:val="00EE0442"/>
    <w:rsid w:val="00EE1048"/>
    <w:rsid w:val="00EE16F1"/>
    <w:rsid w:val="00EE2EE0"/>
    <w:rsid w:val="00EE40AC"/>
    <w:rsid w:val="00EE484B"/>
    <w:rsid w:val="00EE527D"/>
    <w:rsid w:val="00EF19DB"/>
    <w:rsid w:val="00EF1F92"/>
    <w:rsid w:val="00EF31A3"/>
    <w:rsid w:val="00EF72C3"/>
    <w:rsid w:val="00F0049D"/>
    <w:rsid w:val="00F007E1"/>
    <w:rsid w:val="00F02D86"/>
    <w:rsid w:val="00F031DF"/>
    <w:rsid w:val="00F03FE8"/>
    <w:rsid w:val="00F101AF"/>
    <w:rsid w:val="00F10428"/>
    <w:rsid w:val="00F120CF"/>
    <w:rsid w:val="00F1264A"/>
    <w:rsid w:val="00F135B3"/>
    <w:rsid w:val="00F13BF1"/>
    <w:rsid w:val="00F15CA9"/>
    <w:rsid w:val="00F17985"/>
    <w:rsid w:val="00F20180"/>
    <w:rsid w:val="00F22556"/>
    <w:rsid w:val="00F23E9A"/>
    <w:rsid w:val="00F24851"/>
    <w:rsid w:val="00F25A00"/>
    <w:rsid w:val="00F25A31"/>
    <w:rsid w:val="00F271D8"/>
    <w:rsid w:val="00F2733B"/>
    <w:rsid w:val="00F302DF"/>
    <w:rsid w:val="00F3049E"/>
    <w:rsid w:val="00F3375F"/>
    <w:rsid w:val="00F347E5"/>
    <w:rsid w:val="00F352A5"/>
    <w:rsid w:val="00F35586"/>
    <w:rsid w:val="00F3597A"/>
    <w:rsid w:val="00F46296"/>
    <w:rsid w:val="00F545AF"/>
    <w:rsid w:val="00F57686"/>
    <w:rsid w:val="00F60350"/>
    <w:rsid w:val="00F63518"/>
    <w:rsid w:val="00F65FEB"/>
    <w:rsid w:val="00F70035"/>
    <w:rsid w:val="00F701BA"/>
    <w:rsid w:val="00F71663"/>
    <w:rsid w:val="00F7337C"/>
    <w:rsid w:val="00F736A9"/>
    <w:rsid w:val="00F73A22"/>
    <w:rsid w:val="00F744FC"/>
    <w:rsid w:val="00F750BC"/>
    <w:rsid w:val="00F75910"/>
    <w:rsid w:val="00F77A61"/>
    <w:rsid w:val="00F80F97"/>
    <w:rsid w:val="00F846AE"/>
    <w:rsid w:val="00F84FE2"/>
    <w:rsid w:val="00F85ECC"/>
    <w:rsid w:val="00F8631F"/>
    <w:rsid w:val="00F87D58"/>
    <w:rsid w:val="00F905A4"/>
    <w:rsid w:val="00F906C0"/>
    <w:rsid w:val="00F9126F"/>
    <w:rsid w:val="00F9258A"/>
    <w:rsid w:val="00F93A25"/>
    <w:rsid w:val="00F96CE2"/>
    <w:rsid w:val="00FA1911"/>
    <w:rsid w:val="00FA4D07"/>
    <w:rsid w:val="00FA6602"/>
    <w:rsid w:val="00FB0594"/>
    <w:rsid w:val="00FB0B39"/>
    <w:rsid w:val="00FB11EE"/>
    <w:rsid w:val="00FB1AA6"/>
    <w:rsid w:val="00FB298B"/>
    <w:rsid w:val="00FB37BC"/>
    <w:rsid w:val="00FB685D"/>
    <w:rsid w:val="00FB6AD8"/>
    <w:rsid w:val="00FB784A"/>
    <w:rsid w:val="00FC0474"/>
    <w:rsid w:val="00FC0884"/>
    <w:rsid w:val="00FC099E"/>
    <w:rsid w:val="00FC0DFB"/>
    <w:rsid w:val="00FC18A5"/>
    <w:rsid w:val="00FC19E6"/>
    <w:rsid w:val="00FC207A"/>
    <w:rsid w:val="00FC307C"/>
    <w:rsid w:val="00FC3CA7"/>
    <w:rsid w:val="00FC5846"/>
    <w:rsid w:val="00FD2D26"/>
    <w:rsid w:val="00FD36F0"/>
    <w:rsid w:val="00FD774A"/>
    <w:rsid w:val="00FE0BF6"/>
    <w:rsid w:val="00FE4807"/>
    <w:rsid w:val="00FE48A8"/>
    <w:rsid w:val="00FE5E4D"/>
    <w:rsid w:val="00FE663C"/>
    <w:rsid w:val="00FF073F"/>
    <w:rsid w:val="00FF1043"/>
    <w:rsid w:val="00FF1A07"/>
    <w:rsid w:val="00FF2BE6"/>
    <w:rsid w:val="00FF2ECC"/>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753">
      <w:bodyDiv w:val="1"/>
      <w:marLeft w:val="0"/>
      <w:marRight w:val="0"/>
      <w:marTop w:val="0"/>
      <w:marBottom w:val="0"/>
      <w:divBdr>
        <w:top w:val="none" w:sz="0" w:space="0" w:color="auto"/>
        <w:left w:val="none" w:sz="0" w:space="0" w:color="auto"/>
        <w:bottom w:val="none" w:sz="0" w:space="0" w:color="auto"/>
        <w:right w:val="none" w:sz="0" w:space="0" w:color="auto"/>
      </w:divBdr>
    </w:div>
    <w:div w:id="86049389">
      <w:bodyDiv w:val="1"/>
      <w:marLeft w:val="0"/>
      <w:marRight w:val="0"/>
      <w:marTop w:val="0"/>
      <w:marBottom w:val="0"/>
      <w:divBdr>
        <w:top w:val="none" w:sz="0" w:space="0" w:color="auto"/>
        <w:left w:val="none" w:sz="0" w:space="0" w:color="auto"/>
        <w:bottom w:val="none" w:sz="0" w:space="0" w:color="auto"/>
        <w:right w:val="none" w:sz="0" w:space="0" w:color="auto"/>
      </w:divBdr>
    </w:div>
    <w:div w:id="96564668">
      <w:bodyDiv w:val="1"/>
      <w:marLeft w:val="0"/>
      <w:marRight w:val="0"/>
      <w:marTop w:val="0"/>
      <w:marBottom w:val="0"/>
      <w:divBdr>
        <w:top w:val="none" w:sz="0" w:space="0" w:color="auto"/>
        <w:left w:val="none" w:sz="0" w:space="0" w:color="auto"/>
        <w:bottom w:val="none" w:sz="0" w:space="0" w:color="auto"/>
        <w:right w:val="none" w:sz="0" w:space="0" w:color="auto"/>
      </w:divBdr>
    </w:div>
    <w:div w:id="107940499">
      <w:bodyDiv w:val="1"/>
      <w:marLeft w:val="0"/>
      <w:marRight w:val="0"/>
      <w:marTop w:val="0"/>
      <w:marBottom w:val="0"/>
      <w:divBdr>
        <w:top w:val="none" w:sz="0" w:space="0" w:color="auto"/>
        <w:left w:val="none" w:sz="0" w:space="0" w:color="auto"/>
        <w:bottom w:val="none" w:sz="0" w:space="0" w:color="auto"/>
        <w:right w:val="none" w:sz="0" w:space="0" w:color="auto"/>
      </w:divBdr>
    </w:div>
    <w:div w:id="141850384">
      <w:bodyDiv w:val="1"/>
      <w:marLeft w:val="0"/>
      <w:marRight w:val="0"/>
      <w:marTop w:val="0"/>
      <w:marBottom w:val="0"/>
      <w:divBdr>
        <w:top w:val="none" w:sz="0" w:space="0" w:color="auto"/>
        <w:left w:val="none" w:sz="0" w:space="0" w:color="auto"/>
        <w:bottom w:val="none" w:sz="0" w:space="0" w:color="auto"/>
        <w:right w:val="none" w:sz="0" w:space="0" w:color="auto"/>
      </w:divBdr>
    </w:div>
    <w:div w:id="161286669">
      <w:bodyDiv w:val="1"/>
      <w:marLeft w:val="0"/>
      <w:marRight w:val="0"/>
      <w:marTop w:val="0"/>
      <w:marBottom w:val="0"/>
      <w:divBdr>
        <w:top w:val="none" w:sz="0" w:space="0" w:color="auto"/>
        <w:left w:val="none" w:sz="0" w:space="0" w:color="auto"/>
        <w:bottom w:val="none" w:sz="0" w:space="0" w:color="auto"/>
        <w:right w:val="none" w:sz="0" w:space="0" w:color="auto"/>
      </w:divBdr>
    </w:div>
    <w:div w:id="278922058">
      <w:bodyDiv w:val="1"/>
      <w:marLeft w:val="0"/>
      <w:marRight w:val="0"/>
      <w:marTop w:val="0"/>
      <w:marBottom w:val="0"/>
      <w:divBdr>
        <w:top w:val="none" w:sz="0" w:space="0" w:color="auto"/>
        <w:left w:val="none" w:sz="0" w:space="0" w:color="auto"/>
        <w:bottom w:val="none" w:sz="0" w:space="0" w:color="auto"/>
        <w:right w:val="none" w:sz="0" w:space="0" w:color="auto"/>
      </w:divBdr>
    </w:div>
    <w:div w:id="344140363">
      <w:bodyDiv w:val="1"/>
      <w:marLeft w:val="0"/>
      <w:marRight w:val="0"/>
      <w:marTop w:val="0"/>
      <w:marBottom w:val="0"/>
      <w:divBdr>
        <w:top w:val="none" w:sz="0" w:space="0" w:color="auto"/>
        <w:left w:val="none" w:sz="0" w:space="0" w:color="auto"/>
        <w:bottom w:val="none" w:sz="0" w:space="0" w:color="auto"/>
        <w:right w:val="none" w:sz="0" w:space="0" w:color="auto"/>
      </w:divBdr>
    </w:div>
    <w:div w:id="354813459">
      <w:bodyDiv w:val="1"/>
      <w:marLeft w:val="0"/>
      <w:marRight w:val="0"/>
      <w:marTop w:val="0"/>
      <w:marBottom w:val="0"/>
      <w:divBdr>
        <w:top w:val="none" w:sz="0" w:space="0" w:color="auto"/>
        <w:left w:val="none" w:sz="0" w:space="0" w:color="auto"/>
        <w:bottom w:val="none" w:sz="0" w:space="0" w:color="auto"/>
        <w:right w:val="none" w:sz="0" w:space="0" w:color="auto"/>
      </w:divBdr>
    </w:div>
    <w:div w:id="357975094">
      <w:bodyDiv w:val="1"/>
      <w:marLeft w:val="0"/>
      <w:marRight w:val="0"/>
      <w:marTop w:val="0"/>
      <w:marBottom w:val="0"/>
      <w:divBdr>
        <w:top w:val="none" w:sz="0" w:space="0" w:color="auto"/>
        <w:left w:val="none" w:sz="0" w:space="0" w:color="auto"/>
        <w:bottom w:val="none" w:sz="0" w:space="0" w:color="auto"/>
        <w:right w:val="none" w:sz="0" w:space="0" w:color="auto"/>
      </w:divBdr>
    </w:div>
    <w:div w:id="384063554">
      <w:bodyDiv w:val="1"/>
      <w:marLeft w:val="0"/>
      <w:marRight w:val="0"/>
      <w:marTop w:val="0"/>
      <w:marBottom w:val="0"/>
      <w:divBdr>
        <w:top w:val="none" w:sz="0" w:space="0" w:color="auto"/>
        <w:left w:val="none" w:sz="0" w:space="0" w:color="auto"/>
        <w:bottom w:val="none" w:sz="0" w:space="0" w:color="auto"/>
        <w:right w:val="none" w:sz="0" w:space="0" w:color="auto"/>
      </w:divBdr>
    </w:div>
    <w:div w:id="397940388">
      <w:bodyDiv w:val="1"/>
      <w:marLeft w:val="0"/>
      <w:marRight w:val="0"/>
      <w:marTop w:val="0"/>
      <w:marBottom w:val="0"/>
      <w:divBdr>
        <w:top w:val="none" w:sz="0" w:space="0" w:color="auto"/>
        <w:left w:val="none" w:sz="0" w:space="0" w:color="auto"/>
        <w:bottom w:val="none" w:sz="0" w:space="0" w:color="auto"/>
        <w:right w:val="none" w:sz="0" w:space="0" w:color="auto"/>
      </w:divBdr>
    </w:div>
    <w:div w:id="507258425">
      <w:bodyDiv w:val="1"/>
      <w:marLeft w:val="0"/>
      <w:marRight w:val="0"/>
      <w:marTop w:val="0"/>
      <w:marBottom w:val="0"/>
      <w:divBdr>
        <w:top w:val="none" w:sz="0" w:space="0" w:color="auto"/>
        <w:left w:val="none" w:sz="0" w:space="0" w:color="auto"/>
        <w:bottom w:val="none" w:sz="0" w:space="0" w:color="auto"/>
        <w:right w:val="none" w:sz="0" w:space="0" w:color="auto"/>
      </w:divBdr>
    </w:div>
    <w:div w:id="524364091">
      <w:bodyDiv w:val="1"/>
      <w:marLeft w:val="0"/>
      <w:marRight w:val="0"/>
      <w:marTop w:val="0"/>
      <w:marBottom w:val="0"/>
      <w:divBdr>
        <w:top w:val="none" w:sz="0" w:space="0" w:color="auto"/>
        <w:left w:val="none" w:sz="0" w:space="0" w:color="auto"/>
        <w:bottom w:val="none" w:sz="0" w:space="0" w:color="auto"/>
        <w:right w:val="none" w:sz="0" w:space="0" w:color="auto"/>
      </w:divBdr>
    </w:div>
    <w:div w:id="558828399">
      <w:bodyDiv w:val="1"/>
      <w:marLeft w:val="0"/>
      <w:marRight w:val="0"/>
      <w:marTop w:val="0"/>
      <w:marBottom w:val="0"/>
      <w:divBdr>
        <w:top w:val="none" w:sz="0" w:space="0" w:color="auto"/>
        <w:left w:val="none" w:sz="0" w:space="0" w:color="auto"/>
        <w:bottom w:val="none" w:sz="0" w:space="0" w:color="auto"/>
        <w:right w:val="none" w:sz="0" w:space="0" w:color="auto"/>
      </w:divBdr>
    </w:div>
    <w:div w:id="562716405">
      <w:bodyDiv w:val="1"/>
      <w:marLeft w:val="0"/>
      <w:marRight w:val="0"/>
      <w:marTop w:val="0"/>
      <w:marBottom w:val="0"/>
      <w:divBdr>
        <w:top w:val="none" w:sz="0" w:space="0" w:color="auto"/>
        <w:left w:val="none" w:sz="0" w:space="0" w:color="auto"/>
        <w:bottom w:val="none" w:sz="0" w:space="0" w:color="auto"/>
        <w:right w:val="none" w:sz="0" w:space="0" w:color="auto"/>
      </w:divBdr>
    </w:div>
    <w:div w:id="575629289">
      <w:bodyDiv w:val="1"/>
      <w:marLeft w:val="0"/>
      <w:marRight w:val="0"/>
      <w:marTop w:val="0"/>
      <w:marBottom w:val="0"/>
      <w:divBdr>
        <w:top w:val="none" w:sz="0" w:space="0" w:color="auto"/>
        <w:left w:val="none" w:sz="0" w:space="0" w:color="auto"/>
        <w:bottom w:val="none" w:sz="0" w:space="0" w:color="auto"/>
        <w:right w:val="none" w:sz="0" w:space="0" w:color="auto"/>
      </w:divBdr>
    </w:div>
    <w:div w:id="600333018">
      <w:bodyDiv w:val="1"/>
      <w:marLeft w:val="0"/>
      <w:marRight w:val="0"/>
      <w:marTop w:val="0"/>
      <w:marBottom w:val="0"/>
      <w:divBdr>
        <w:top w:val="none" w:sz="0" w:space="0" w:color="auto"/>
        <w:left w:val="none" w:sz="0" w:space="0" w:color="auto"/>
        <w:bottom w:val="none" w:sz="0" w:space="0" w:color="auto"/>
        <w:right w:val="none" w:sz="0" w:space="0" w:color="auto"/>
      </w:divBdr>
    </w:div>
    <w:div w:id="600383926">
      <w:bodyDiv w:val="1"/>
      <w:marLeft w:val="0"/>
      <w:marRight w:val="0"/>
      <w:marTop w:val="0"/>
      <w:marBottom w:val="0"/>
      <w:divBdr>
        <w:top w:val="none" w:sz="0" w:space="0" w:color="auto"/>
        <w:left w:val="none" w:sz="0" w:space="0" w:color="auto"/>
        <w:bottom w:val="none" w:sz="0" w:space="0" w:color="auto"/>
        <w:right w:val="none" w:sz="0" w:space="0" w:color="auto"/>
      </w:divBdr>
    </w:div>
    <w:div w:id="613445729">
      <w:bodyDiv w:val="1"/>
      <w:marLeft w:val="0"/>
      <w:marRight w:val="0"/>
      <w:marTop w:val="0"/>
      <w:marBottom w:val="0"/>
      <w:divBdr>
        <w:top w:val="none" w:sz="0" w:space="0" w:color="auto"/>
        <w:left w:val="none" w:sz="0" w:space="0" w:color="auto"/>
        <w:bottom w:val="none" w:sz="0" w:space="0" w:color="auto"/>
        <w:right w:val="none" w:sz="0" w:space="0" w:color="auto"/>
      </w:divBdr>
    </w:div>
    <w:div w:id="618608754">
      <w:bodyDiv w:val="1"/>
      <w:marLeft w:val="0"/>
      <w:marRight w:val="0"/>
      <w:marTop w:val="0"/>
      <w:marBottom w:val="0"/>
      <w:divBdr>
        <w:top w:val="none" w:sz="0" w:space="0" w:color="auto"/>
        <w:left w:val="none" w:sz="0" w:space="0" w:color="auto"/>
        <w:bottom w:val="none" w:sz="0" w:space="0" w:color="auto"/>
        <w:right w:val="none" w:sz="0" w:space="0" w:color="auto"/>
      </w:divBdr>
    </w:div>
    <w:div w:id="621887539">
      <w:bodyDiv w:val="1"/>
      <w:marLeft w:val="0"/>
      <w:marRight w:val="0"/>
      <w:marTop w:val="0"/>
      <w:marBottom w:val="0"/>
      <w:divBdr>
        <w:top w:val="none" w:sz="0" w:space="0" w:color="auto"/>
        <w:left w:val="none" w:sz="0" w:space="0" w:color="auto"/>
        <w:bottom w:val="none" w:sz="0" w:space="0" w:color="auto"/>
        <w:right w:val="none" w:sz="0" w:space="0" w:color="auto"/>
      </w:divBdr>
    </w:div>
    <w:div w:id="623969169">
      <w:bodyDiv w:val="1"/>
      <w:marLeft w:val="0"/>
      <w:marRight w:val="0"/>
      <w:marTop w:val="0"/>
      <w:marBottom w:val="0"/>
      <w:divBdr>
        <w:top w:val="none" w:sz="0" w:space="0" w:color="auto"/>
        <w:left w:val="none" w:sz="0" w:space="0" w:color="auto"/>
        <w:bottom w:val="none" w:sz="0" w:space="0" w:color="auto"/>
        <w:right w:val="none" w:sz="0" w:space="0" w:color="auto"/>
      </w:divBdr>
    </w:div>
    <w:div w:id="669138242">
      <w:bodyDiv w:val="1"/>
      <w:marLeft w:val="0"/>
      <w:marRight w:val="0"/>
      <w:marTop w:val="0"/>
      <w:marBottom w:val="0"/>
      <w:divBdr>
        <w:top w:val="none" w:sz="0" w:space="0" w:color="auto"/>
        <w:left w:val="none" w:sz="0" w:space="0" w:color="auto"/>
        <w:bottom w:val="none" w:sz="0" w:space="0" w:color="auto"/>
        <w:right w:val="none" w:sz="0" w:space="0" w:color="auto"/>
      </w:divBdr>
    </w:div>
    <w:div w:id="724647870">
      <w:bodyDiv w:val="1"/>
      <w:marLeft w:val="0"/>
      <w:marRight w:val="0"/>
      <w:marTop w:val="0"/>
      <w:marBottom w:val="0"/>
      <w:divBdr>
        <w:top w:val="none" w:sz="0" w:space="0" w:color="auto"/>
        <w:left w:val="none" w:sz="0" w:space="0" w:color="auto"/>
        <w:bottom w:val="none" w:sz="0" w:space="0" w:color="auto"/>
        <w:right w:val="none" w:sz="0" w:space="0" w:color="auto"/>
      </w:divBdr>
    </w:div>
    <w:div w:id="814493754">
      <w:bodyDiv w:val="1"/>
      <w:marLeft w:val="0"/>
      <w:marRight w:val="0"/>
      <w:marTop w:val="0"/>
      <w:marBottom w:val="0"/>
      <w:divBdr>
        <w:top w:val="none" w:sz="0" w:space="0" w:color="auto"/>
        <w:left w:val="none" w:sz="0" w:space="0" w:color="auto"/>
        <w:bottom w:val="none" w:sz="0" w:space="0" w:color="auto"/>
        <w:right w:val="none" w:sz="0" w:space="0" w:color="auto"/>
      </w:divBdr>
    </w:div>
    <w:div w:id="815225196">
      <w:bodyDiv w:val="1"/>
      <w:marLeft w:val="0"/>
      <w:marRight w:val="0"/>
      <w:marTop w:val="0"/>
      <w:marBottom w:val="0"/>
      <w:divBdr>
        <w:top w:val="none" w:sz="0" w:space="0" w:color="auto"/>
        <w:left w:val="none" w:sz="0" w:space="0" w:color="auto"/>
        <w:bottom w:val="none" w:sz="0" w:space="0" w:color="auto"/>
        <w:right w:val="none" w:sz="0" w:space="0" w:color="auto"/>
      </w:divBdr>
    </w:div>
    <w:div w:id="1021398617">
      <w:bodyDiv w:val="1"/>
      <w:marLeft w:val="0"/>
      <w:marRight w:val="0"/>
      <w:marTop w:val="0"/>
      <w:marBottom w:val="0"/>
      <w:divBdr>
        <w:top w:val="none" w:sz="0" w:space="0" w:color="auto"/>
        <w:left w:val="none" w:sz="0" w:space="0" w:color="auto"/>
        <w:bottom w:val="none" w:sz="0" w:space="0" w:color="auto"/>
        <w:right w:val="none" w:sz="0" w:space="0" w:color="auto"/>
      </w:divBdr>
    </w:div>
    <w:div w:id="1052658406">
      <w:bodyDiv w:val="1"/>
      <w:marLeft w:val="0"/>
      <w:marRight w:val="0"/>
      <w:marTop w:val="0"/>
      <w:marBottom w:val="0"/>
      <w:divBdr>
        <w:top w:val="none" w:sz="0" w:space="0" w:color="auto"/>
        <w:left w:val="none" w:sz="0" w:space="0" w:color="auto"/>
        <w:bottom w:val="none" w:sz="0" w:space="0" w:color="auto"/>
        <w:right w:val="none" w:sz="0" w:space="0" w:color="auto"/>
      </w:divBdr>
    </w:div>
    <w:div w:id="1069038616">
      <w:bodyDiv w:val="1"/>
      <w:marLeft w:val="0"/>
      <w:marRight w:val="0"/>
      <w:marTop w:val="0"/>
      <w:marBottom w:val="0"/>
      <w:divBdr>
        <w:top w:val="none" w:sz="0" w:space="0" w:color="auto"/>
        <w:left w:val="none" w:sz="0" w:space="0" w:color="auto"/>
        <w:bottom w:val="none" w:sz="0" w:space="0" w:color="auto"/>
        <w:right w:val="none" w:sz="0" w:space="0" w:color="auto"/>
      </w:divBdr>
    </w:div>
    <w:div w:id="1069960464">
      <w:bodyDiv w:val="1"/>
      <w:marLeft w:val="0"/>
      <w:marRight w:val="0"/>
      <w:marTop w:val="0"/>
      <w:marBottom w:val="0"/>
      <w:divBdr>
        <w:top w:val="none" w:sz="0" w:space="0" w:color="auto"/>
        <w:left w:val="none" w:sz="0" w:space="0" w:color="auto"/>
        <w:bottom w:val="none" w:sz="0" w:space="0" w:color="auto"/>
        <w:right w:val="none" w:sz="0" w:space="0" w:color="auto"/>
      </w:divBdr>
    </w:div>
    <w:div w:id="1082025000">
      <w:bodyDiv w:val="1"/>
      <w:marLeft w:val="0"/>
      <w:marRight w:val="0"/>
      <w:marTop w:val="0"/>
      <w:marBottom w:val="0"/>
      <w:divBdr>
        <w:top w:val="none" w:sz="0" w:space="0" w:color="auto"/>
        <w:left w:val="none" w:sz="0" w:space="0" w:color="auto"/>
        <w:bottom w:val="none" w:sz="0" w:space="0" w:color="auto"/>
        <w:right w:val="none" w:sz="0" w:space="0" w:color="auto"/>
      </w:divBdr>
    </w:div>
    <w:div w:id="1143740185">
      <w:bodyDiv w:val="1"/>
      <w:marLeft w:val="0"/>
      <w:marRight w:val="0"/>
      <w:marTop w:val="0"/>
      <w:marBottom w:val="0"/>
      <w:divBdr>
        <w:top w:val="none" w:sz="0" w:space="0" w:color="auto"/>
        <w:left w:val="none" w:sz="0" w:space="0" w:color="auto"/>
        <w:bottom w:val="none" w:sz="0" w:space="0" w:color="auto"/>
        <w:right w:val="none" w:sz="0" w:space="0" w:color="auto"/>
      </w:divBdr>
    </w:div>
    <w:div w:id="1183469294">
      <w:bodyDiv w:val="1"/>
      <w:marLeft w:val="0"/>
      <w:marRight w:val="0"/>
      <w:marTop w:val="0"/>
      <w:marBottom w:val="0"/>
      <w:divBdr>
        <w:top w:val="none" w:sz="0" w:space="0" w:color="auto"/>
        <w:left w:val="none" w:sz="0" w:space="0" w:color="auto"/>
        <w:bottom w:val="none" w:sz="0" w:space="0" w:color="auto"/>
        <w:right w:val="none" w:sz="0" w:space="0" w:color="auto"/>
      </w:divBdr>
    </w:div>
    <w:div w:id="1244997393">
      <w:bodyDiv w:val="1"/>
      <w:marLeft w:val="0"/>
      <w:marRight w:val="0"/>
      <w:marTop w:val="0"/>
      <w:marBottom w:val="0"/>
      <w:divBdr>
        <w:top w:val="none" w:sz="0" w:space="0" w:color="auto"/>
        <w:left w:val="none" w:sz="0" w:space="0" w:color="auto"/>
        <w:bottom w:val="none" w:sz="0" w:space="0" w:color="auto"/>
        <w:right w:val="none" w:sz="0" w:space="0" w:color="auto"/>
      </w:divBdr>
    </w:div>
    <w:div w:id="1297955001">
      <w:bodyDiv w:val="1"/>
      <w:marLeft w:val="0"/>
      <w:marRight w:val="0"/>
      <w:marTop w:val="0"/>
      <w:marBottom w:val="0"/>
      <w:divBdr>
        <w:top w:val="none" w:sz="0" w:space="0" w:color="auto"/>
        <w:left w:val="none" w:sz="0" w:space="0" w:color="auto"/>
        <w:bottom w:val="none" w:sz="0" w:space="0" w:color="auto"/>
        <w:right w:val="none" w:sz="0" w:space="0" w:color="auto"/>
      </w:divBdr>
    </w:div>
    <w:div w:id="1315642263">
      <w:bodyDiv w:val="1"/>
      <w:marLeft w:val="0"/>
      <w:marRight w:val="0"/>
      <w:marTop w:val="0"/>
      <w:marBottom w:val="0"/>
      <w:divBdr>
        <w:top w:val="none" w:sz="0" w:space="0" w:color="auto"/>
        <w:left w:val="none" w:sz="0" w:space="0" w:color="auto"/>
        <w:bottom w:val="none" w:sz="0" w:space="0" w:color="auto"/>
        <w:right w:val="none" w:sz="0" w:space="0" w:color="auto"/>
      </w:divBdr>
    </w:div>
    <w:div w:id="1325859427">
      <w:bodyDiv w:val="1"/>
      <w:marLeft w:val="0"/>
      <w:marRight w:val="0"/>
      <w:marTop w:val="0"/>
      <w:marBottom w:val="0"/>
      <w:divBdr>
        <w:top w:val="none" w:sz="0" w:space="0" w:color="auto"/>
        <w:left w:val="none" w:sz="0" w:space="0" w:color="auto"/>
        <w:bottom w:val="none" w:sz="0" w:space="0" w:color="auto"/>
        <w:right w:val="none" w:sz="0" w:space="0" w:color="auto"/>
      </w:divBdr>
    </w:div>
    <w:div w:id="1342396491">
      <w:bodyDiv w:val="1"/>
      <w:marLeft w:val="0"/>
      <w:marRight w:val="0"/>
      <w:marTop w:val="0"/>
      <w:marBottom w:val="0"/>
      <w:divBdr>
        <w:top w:val="none" w:sz="0" w:space="0" w:color="auto"/>
        <w:left w:val="none" w:sz="0" w:space="0" w:color="auto"/>
        <w:bottom w:val="none" w:sz="0" w:space="0" w:color="auto"/>
        <w:right w:val="none" w:sz="0" w:space="0" w:color="auto"/>
      </w:divBdr>
    </w:div>
    <w:div w:id="1385638915">
      <w:bodyDiv w:val="1"/>
      <w:marLeft w:val="0"/>
      <w:marRight w:val="0"/>
      <w:marTop w:val="0"/>
      <w:marBottom w:val="0"/>
      <w:divBdr>
        <w:top w:val="none" w:sz="0" w:space="0" w:color="auto"/>
        <w:left w:val="none" w:sz="0" w:space="0" w:color="auto"/>
        <w:bottom w:val="none" w:sz="0" w:space="0" w:color="auto"/>
        <w:right w:val="none" w:sz="0" w:space="0" w:color="auto"/>
      </w:divBdr>
    </w:div>
    <w:div w:id="1430739768">
      <w:bodyDiv w:val="1"/>
      <w:marLeft w:val="0"/>
      <w:marRight w:val="0"/>
      <w:marTop w:val="0"/>
      <w:marBottom w:val="0"/>
      <w:divBdr>
        <w:top w:val="none" w:sz="0" w:space="0" w:color="auto"/>
        <w:left w:val="none" w:sz="0" w:space="0" w:color="auto"/>
        <w:bottom w:val="none" w:sz="0" w:space="0" w:color="auto"/>
        <w:right w:val="none" w:sz="0" w:space="0" w:color="auto"/>
      </w:divBdr>
    </w:div>
    <w:div w:id="1446117868">
      <w:bodyDiv w:val="1"/>
      <w:marLeft w:val="0"/>
      <w:marRight w:val="0"/>
      <w:marTop w:val="0"/>
      <w:marBottom w:val="0"/>
      <w:divBdr>
        <w:top w:val="none" w:sz="0" w:space="0" w:color="auto"/>
        <w:left w:val="none" w:sz="0" w:space="0" w:color="auto"/>
        <w:bottom w:val="none" w:sz="0" w:space="0" w:color="auto"/>
        <w:right w:val="none" w:sz="0" w:space="0" w:color="auto"/>
      </w:divBdr>
    </w:div>
    <w:div w:id="1532569179">
      <w:bodyDiv w:val="1"/>
      <w:marLeft w:val="0"/>
      <w:marRight w:val="0"/>
      <w:marTop w:val="0"/>
      <w:marBottom w:val="0"/>
      <w:divBdr>
        <w:top w:val="none" w:sz="0" w:space="0" w:color="auto"/>
        <w:left w:val="none" w:sz="0" w:space="0" w:color="auto"/>
        <w:bottom w:val="none" w:sz="0" w:space="0" w:color="auto"/>
        <w:right w:val="none" w:sz="0" w:space="0" w:color="auto"/>
      </w:divBdr>
    </w:div>
    <w:div w:id="1539048873">
      <w:bodyDiv w:val="1"/>
      <w:marLeft w:val="0"/>
      <w:marRight w:val="0"/>
      <w:marTop w:val="0"/>
      <w:marBottom w:val="0"/>
      <w:divBdr>
        <w:top w:val="none" w:sz="0" w:space="0" w:color="auto"/>
        <w:left w:val="none" w:sz="0" w:space="0" w:color="auto"/>
        <w:bottom w:val="none" w:sz="0" w:space="0" w:color="auto"/>
        <w:right w:val="none" w:sz="0" w:space="0" w:color="auto"/>
      </w:divBdr>
    </w:div>
    <w:div w:id="1624193352">
      <w:bodyDiv w:val="1"/>
      <w:marLeft w:val="0"/>
      <w:marRight w:val="0"/>
      <w:marTop w:val="0"/>
      <w:marBottom w:val="0"/>
      <w:divBdr>
        <w:top w:val="none" w:sz="0" w:space="0" w:color="auto"/>
        <w:left w:val="none" w:sz="0" w:space="0" w:color="auto"/>
        <w:bottom w:val="none" w:sz="0" w:space="0" w:color="auto"/>
        <w:right w:val="none" w:sz="0" w:space="0" w:color="auto"/>
      </w:divBdr>
    </w:div>
    <w:div w:id="1625772233">
      <w:bodyDiv w:val="1"/>
      <w:marLeft w:val="0"/>
      <w:marRight w:val="0"/>
      <w:marTop w:val="0"/>
      <w:marBottom w:val="0"/>
      <w:divBdr>
        <w:top w:val="none" w:sz="0" w:space="0" w:color="auto"/>
        <w:left w:val="none" w:sz="0" w:space="0" w:color="auto"/>
        <w:bottom w:val="none" w:sz="0" w:space="0" w:color="auto"/>
        <w:right w:val="none" w:sz="0" w:space="0" w:color="auto"/>
      </w:divBdr>
    </w:div>
    <w:div w:id="1656953408">
      <w:bodyDiv w:val="1"/>
      <w:marLeft w:val="0"/>
      <w:marRight w:val="0"/>
      <w:marTop w:val="0"/>
      <w:marBottom w:val="0"/>
      <w:divBdr>
        <w:top w:val="none" w:sz="0" w:space="0" w:color="auto"/>
        <w:left w:val="none" w:sz="0" w:space="0" w:color="auto"/>
        <w:bottom w:val="none" w:sz="0" w:space="0" w:color="auto"/>
        <w:right w:val="none" w:sz="0" w:space="0" w:color="auto"/>
      </w:divBdr>
    </w:div>
    <w:div w:id="1659961449">
      <w:bodyDiv w:val="1"/>
      <w:marLeft w:val="0"/>
      <w:marRight w:val="0"/>
      <w:marTop w:val="0"/>
      <w:marBottom w:val="0"/>
      <w:divBdr>
        <w:top w:val="none" w:sz="0" w:space="0" w:color="auto"/>
        <w:left w:val="none" w:sz="0" w:space="0" w:color="auto"/>
        <w:bottom w:val="none" w:sz="0" w:space="0" w:color="auto"/>
        <w:right w:val="none" w:sz="0" w:space="0" w:color="auto"/>
      </w:divBdr>
    </w:div>
    <w:div w:id="1687902695">
      <w:bodyDiv w:val="1"/>
      <w:marLeft w:val="0"/>
      <w:marRight w:val="0"/>
      <w:marTop w:val="0"/>
      <w:marBottom w:val="0"/>
      <w:divBdr>
        <w:top w:val="none" w:sz="0" w:space="0" w:color="auto"/>
        <w:left w:val="none" w:sz="0" w:space="0" w:color="auto"/>
        <w:bottom w:val="none" w:sz="0" w:space="0" w:color="auto"/>
        <w:right w:val="none" w:sz="0" w:space="0" w:color="auto"/>
      </w:divBdr>
    </w:div>
    <w:div w:id="1771462057">
      <w:bodyDiv w:val="1"/>
      <w:marLeft w:val="0"/>
      <w:marRight w:val="0"/>
      <w:marTop w:val="0"/>
      <w:marBottom w:val="0"/>
      <w:divBdr>
        <w:top w:val="none" w:sz="0" w:space="0" w:color="auto"/>
        <w:left w:val="none" w:sz="0" w:space="0" w:color="auto"/>
        <w:bottom w:val="none" w:sz="0" w:space="0" w:color="auto"/>
        <w:right w:val="none" w:sz="0" w:space="0" w:color="auto"/>
      </w:divBdr>
    </w:div>
    <w:div w:id="1824469056">
      <w:bodyDiv w:val="1"/>
      <w:marLeft w:val="0"/>
      <w:marRight w:val="0"/>
      <w:marTop w:val="0"/>
      <w:marBottom w:val="0"/>
      <w:divBdr>
        <w:top w:val="none" w:sz="0" w:space="0" w:color="auto"/>
        <w:left w:val="none" w:sz="0" w:space="0" w:color="auto"/>
        <w:bottom w:val="none" w:sz="0" w:space="0" w:color="auto"/>
        <w:right w:val="none" w:sz="0" w:space="0" w:color="auto"/>
      </w:divBdr>
    </w:div>
    <w:div w:id="1939021051">
      <w:bodyDiv w:val="1"/>
      <w:marLeft w:val="0"/>
      <w:marRight w:val="0"/>
      <w:marTop w:val="0"/>
      <w:marBottom w:val="0"/>
      <w:divBdr>
        <w:top w:val="none" w:sz="0" w:space="0" w:color="auto"/>
        <w:left w:val="none" w:sz="0" w:space="0" w:color="auto"/>
        <w:bottom w:val="none" w:sz="0" w:space="0" w:color="auto"/>
        <w:right w:val="none" w:sz="0" w:space="0" w:color="auto"/>
      </w:divBdr>
    </w:div>
    <w:div w:id="1939288346">
      <w:bodyDiv w:val="1"/>
      <w:marLeft w:val="0"/>
      <w:marRight w:val="0"/>
      <w:marTop w:val="0"/>
      <w:marBottom w:val="0"/>
      <w:divBdr>
        <w:top w:val="none" w:sz="0" w:space="0" w:color="auto"/>
        <w:left w:val="none" w:sz="0" w:space="0" w:color="auto"/>
        <w:bottom w:val="none" w:sz="0" w:space="0" w:color="auto"/>
        <w:right w:val="none" w:sz="0" w:space="0" w:color="auto"/>
      </w:divBdr>
    </w:div>
    <w:div w:id="1943144738">
      <w:bodyDiv w:val="1"/>
      <w:marLeft w:val="0"/>
      <w:marRight w:val="0"/>
      <w:marTop w:val="0"/>
      <w:marBottom w:val="0"/>
      <w:divBdr>
        <w:top w:val="none" w:sz="0" w:space="0" w:color="auto"/>
        <w:left w:val="none" w:sz="0" w:space="0" w:color="auto"/>
        <w:bottom w:val="none" w:sz="0" w:space="0" w:color="auto"/>
        <w:right w:val="none" w:sz="0" w:space="0" w:color="auto"/>
      </w:divBdr>
    </w:div>
    <w:div w:id="1951548840">
      <w:bodyDiv w:val="1"/>
      <w:marLeft w:val="0"/>
      <w:marRight w:val="0"/>
      <w:marTop w:val="0"/>
      <w:marBottom w:val="0"/>
      <w:divBdr>
        <w:top w:val="none" w:sz="0" w:space="0" w:color="auto"/>
        <w:left w:val="none" w:sz="0" w:space="0" w:color="auto"/>
        <w:bottom w:val="none" w:sz="0" w:space="0" w:color="auto"/>
        <w:right w:val="none" w:sz="0" w:space="0" w:color="auto"/>
      </w:divBdr>
    </w:div>
    <w:div w:id="1985886789">
      <w:bodyDiv w:val="1"/>
      <w:marLeft w:val="0"/>
      <w:marRight w:val="0"/>
      <w:marTop w:val="0"/>
      <w:marBottom w:val="0"/>
      <w:divBdr>
        <w:top w:val="none" w:sz="0" w:space="0" w:color="auto"/>
        <w:left w:val="none" w:sz="0" w:space="0" w:color="auto"/>
        <w:bottom w:val="none" w:sz="0" w:space="0" w:color="auto"/>
        <w:right w:val="none" w:sz="0" w:space="0" w:color="auto"/>
      </w:divBdr>
    </w:div>
    <w:div w:id="2014912174">
      <w:bodyDiv w:val="1"/>
      <w:marLeft w:val="0"/>
      <w:marRight w:val="0"/>
      <w:marTop w:val="0"/>
      <w:marBottom w:val="0"/>
      <w:divBdr>
        <w:top w:val="none" w:sz="0" w:space="0" w:color="auto"/>
        <w:left w:val="none" w:sz="0" w:space="0" w:color="auto"/>
        <w:bottom w:val="none" w:sz="0" w:space="0" w:color="auto"/>
        <w:right w:val="none" w:sz="0" w:space="0" w:color="auto"/>
      </w:divBdr>
    </w:div>
    <w:div w:id="2044474819">
      <w:bodyDiv w:val="1"/>
      <w:marLeft w:val="0"/>
      <w:marRight w:val="0"/>
      <w:marTop w:val="0"/>
      <w:marBottom w:val="0"/>
      <w:divBdr>
        <w:top w:val="none" w:sz="0" w:space="0" w:color="auto"/>
        <w:left w:val="none" w:sz="0" w:space="0" w:color="auto"/>
        <w:bottom w:val="none" w:sz="0" w:space="0" w:color="auto"/>
        <w:right w:val="none" w:sz="0" w:space="0" w:color="auto"/>
      </w:divBdr>
    </w:div>
    <w:div w:id="2051413946">
      <w:bodyDiv w:val="1"/>
      <w:marLeft w:val="0"/>
      <w:marRight w:val="0"/>
      <w:marTop w:val="0"/>
      <w:marBottom w:val="0"/>
      <w:divBdr>
        <w:top w:val="none" w:sz="0" w:space="0" w:color="auto"/>
        <w:left w:val="none" w:sz="0" w:space="0" w:color="auto"/>
        <w:bottom w:val="none" w:sz="0" w:space="0" w:color="auto"/>
        <w:right w:val="none" w:sz="0" w:space="0" w:color="auto"/>
      </w:divBdr>
    </w:div>
    <w:div w:id="2109159638">
      <w:bodyDiv w:val="1"/>
      <w:marLeft w:val="0"/>
      <w:marRight w:val="0"/>
      <w:marTop w:val="0"/>
      <w:marBottom w:val="0"/>
      <w:divBdr>
        <w:top w:val="none" w:sz="0" w:space="0" w:color="auto"/>
        <w:left w:val="none" w:sz="0" w:space="0" w:color="auto"/>
        <w:bottom w:val="none" w:sz="0" w:space="0" w:color="auto"/>
        <w:right w:val="none" w:sz="0" w:space="0" w:color="auto"/>
      </w:divBdr>
    </w:div>
    <w:div w:id="2117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hyperlink" Target="http://www.mtsu.edu/consumer"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yperlink" Target="http://www.conference-board.org"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mailto:Tim.Graeff@mtsu.ed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5.xml"/></Relationships>
</file>

<file path=word/_rels/footnotes.xml.rels><?xml version="1.0" encoding="UTF-8" standalone="yes"?>
<Relationships xmlns="http://schemas.openxmlformats.org/package/2006/relationships"><Relationship Id="rId1" Type="http://schemas.openxmlformats.org/officeDocument/2006/relationships/hyperlink" Target="http://www.conference-boar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Middle</a:t>
            </a:r>
            <a:r>
              <a:rPr lang="en-US" baseline="0"/>
              <a:t> Tennessee Consumer Outlook Index</a:t>
            </a:r>
            <a:endParaRPr lang="en-US"/>
          </a:p>
        </c:rich>
      </c:tx>
      <c:overlay val="0"/>
    </c:title>
    <c:autoTitleDeleted val="0"/>
    <c:plotArea>
      <c:layout/>
      <c:lineChart>
        <c:grouping val="standard"/>
        <c:varyColors val="0"/>
        <c:ser>
          <c:idx val="0"/>
          <c:order val="0"/>
          <c:tx>
            <c:strRef>
              <c:f>Sheet1!$A$2</c:f>
              <c:strCache>
                <c:ptCount val="1"/>
                <c:pt idx="0">
                  <c:v>Overall Outlook Index</c:v>
                </c:pt>
              </c:strCache>
            </c:strRef>
          </c:tx>
          <c:spPr>
            <a:ln w="12700">
              <a:solidFill>
                <a:schemeClr val="tx1"/>
              </a:solidFill>
            </a:ln>
          </c:spPr>
          <c:marker>
            <c:symbol val="diamond"/>
            <c:size val="10"/>
            <c:spPr>
              <a:solidFill>
                <a:srgbClr val="0070C0"/>
              </a:solidFill>
              <a:ln>
                <a:solidFill>
                  <a:prstClr val="black"/>
                </a:solidFill>
              </a:ln>
            </c:spPr>
          </c:marker>
          <c:cat>
            <c:strRef>
              <c:f>Sheet1!$B$1:$K$1</c:f>
              <c:strCache>
                <c:ptCount val="10"/>
                <c:pt idx="0">
                  <c:v>Ma11</c:v>
                </c:pt>
                <c:pt idx="1">
                  <c:v>Se11</c:v>
                </c:pt>
                <c:pt idx="2">
                  <c:v>De11</c:v>
                </c:pt>
                <c:pt idx="3">
                  <c:v>Ja12</c:v>
                </c:pt>
                <c:pt idx="4">
                  <c:v>Ap12</c:v>
                </c:pt>
                <c:pt idx="5">
                  <c:v>Se12</c:v>
                </c:pt>
                <c:pt idx="6">
                  <c:v>No12</c:v>
                </c:pt>
                <c:pt idx="7">
                  <c:v>Fe13</c:v>
                </c:pt>
                <c:pt idx="8">
                  <c:v>Ap13</c:v>
                </c:pt>
                <c:pt idx="9">
                  <c:v>Se13</c:v>
                </c:pt>
              </c:strCache>
            </c:strRef>
          </c:cat>
          <c:val>
            <c:numRef>
              <c:f>Sheet1!$B$2:$K$2</c:f>
              <c:numCache>
                <c:formatCode>General</c:formatCode>
                <c:ptCount val="10"/>
                <c:pt idx="0">
                  <c:v>63</c:v>
                </c:pt>
                <c:pt idx="1">
                  <c:v>27</c:v>
                </c:pt>
                <c:pt idx="2">
                  <c:v>112</c:v>
                </c:pt>
                <c:pt idx="3">
                  <c:v>151</c:v>
                </c:pt>
                <c:pt idx="4">
                  <c:v>184</c:v>
                </c:pt>
                <c:pt idx="5">
                  <c:v>178</c:v>
                </c:pt>
                <c:pt idx="6">
                  <c:v>106</c:v>
                </c:pt>
                <c:pt idx="7">
                  <c:v>144</c:v>
                </c:pt>
                <c:pt idx="8">
                  <c:v>193</c:v>
                </c:pt>
                <c:pt idx="9">
                  <c:v>199</c:v>
                </c:pt>
              </c:numCache>
            </c:numRef>
          </c:val>
          <c:smooth val="0"/>
        </c:ser>
        <c:ser>
          <c:idx val="1"/>
          <c:order val="1"/>
          <c:tx>
            <c:strRef>
              <c:f>Sheet1!$A$3</c:f>
              <c:strCache>
                <c:ptCount val="1"/>
                <c:pt idx="0">
                  <c:v>Current Sit. Index</c:v>
                </c:pt>
              </c:strCache>
            </c:strRef>
          </c:tx>
          <c:spPr>
            <a:ln w="12700">
              <a:solidFill>
                <a:schemeClr val="tx1"/>
              </a:solidFill>
            </a:ln>
          </c:spPr>
          <c:marker>
            <c:symbol val="square"/>
            <c:size val="10"/>
            <c:spPr>
              <a:solidFill>
                <a:srgbClr val="C00000"/>
              </a:solidFill>
              <a:ln>
                <a:solidFill>
                  <a:prstClr val="black"/>
                </a:solidFill>
              </a:ln>
            </c:spPr>
          </c:marker>
          <c:cat>
            <c:strRef>
              <c:f>Sheet1!$B$1:$K$1</c:f>
              <c:strCache>
                <c:ptCount val="10"/>
                <c:pt idx="0">
                  <c:v>Ma11</c:v>
                </c:pt>
                <c:pt idx="1">
                  <c:v>Se11</c:v>
                </c:pt>
                <c:pt idx="2">
                  <c:v>De11</c:v>
                </c:pt>
                <c:pt idx="3">
                  <c:v>Ja12</c:v>
                </c:pt>
                <c:pt idx="4">
                  <c:v>Ap12</c:v>
                </c:pt>
                <c:pt idx="5">
                  <c:v>Se12</c:v>
                </c:pt>
                <c:pt idx="6">
                  <c:v>No12</c:v>
                </c:pt>
                <c:pt idx="7">
                  <c:v>Fe13</c:v>
                </c:pt>
                <c:pt idx="8">
                  <c:v>Ap13</c:v>
                </c:pt>
                <c:pt idx="9">
                  <c:v>Se13</c:v>
                </c:pt>
              </c:strCache>
            </c:strRef>
          </c:cat>
          <c:val>
            <c:numRef>
              <c:f>Sheet1!$B$3:$K$3</c:f>
              <c:numCache>
                <c:formatCode>General</c:formatCode>
                <c:ptCount val="10"/>
                <c:pt idx="0">
                  <c:v>-80</c:v>
                </c:pt>
                <c:pt idx="1">
                  <c:v>-86</c:v>
                </c:pt>
                <c:pt idx="2">
                  <c:v>-64</c:v>
                </c:pt>
                <c:pt idx="3">
                  <c:v>-55</c:v>
                </c:pt>
                <c:pt idx="4">
                  <c:v>-24</c:v>
                </c:pt>
                <c:pt idx="5">
                  <c:v>-26</c:v>
                </c:pt>
                <c:pt idx="6">
                  <c:v>-22</c:v>
                </c:pt>
                <c:pt idx="7">
                  <c:v>-16</c:v>
                </c:pt>
                <c:pt idx="8">
                  <c:v>1</c:v>
                </c:pt>
                <c:pt idx="9">
                  <c:v>18</c:v>
                </c:pt>
              </c:numCache>
            </c:numRef>
          </c:val>
          <c:smooth val="0"/>
        </c:ser>
        <c:ser>
          <c:idx val="2"/>
          <c:order val="2"/>
          <c:tx>
            <c:strRef>
              <c:f>Sheet1!$A$4</c:f>
              <c:strCache>
                <c:ptCount val="1"/>
                <c:pt idx="0">
                  <c:v>Future Exp. Index</c:v>
                </c:pt>
              </c:strCache>
            </c:strRef>
          </c:tx>
          <c:spPr>
            <a:ln w="12700">
              <a:solidFill>
                <a:prstClr val="black"/>
              </a:solidFill>
            </a:ln>
          </c:spPr>
          <c:marker>
            <c:symbol val="triangle"/>
            <c:size val="10"/>
            <c:spPr>
              <a:solidFill>
                <a:srgbClr val="00B050"/>
              </a:solidFill>
              <a:ln>
                <a:solidFill>
                  <a:prstClr val="black"/>
                </a:solidFill>
              </a:ln>
            </c:spPr>
          </c:marker>
          <c:cat>
            <c:strRef>
              <c:f>Sheet1!$B$1:$K$1</c:f>
              <c:strCache>
                <c:ptCount val="10"/>
                <c:pt idx="0">
                  <c:v>Ma11</c:v>
                </c:pt>
                <c:pt idx="1">
                  <c:v>Se11</c:v>
                </c:pt>
                <c:pt idx="2">
                  <c:v>De11</c:v>
                </c:pt>
                <c:pt idx="3">
                  <c:v>Ja12</c:v>
                </c:pt>
                <c:pt idx="4">
                  <c:v>Ap12</c:v>
                </c:pt>
                <c:pt idx="5">
                  <c:v>Se12</c:v>
                </c:pt>
                <c:pt idx="6">
                  <c:v>No12</c:v>
                </c:pt>
                <c:pt idx="7">
                  <c:v>Fe13</c:v>
                </c:pt>
                <c:pt idx="8">
                  <c:v>Ap13</c:v>
                </c:pt>
                <c:pt idx="9">
                  <c:v>Se13</c:v>
                </c:pt>
              </c:strCache>
            </c:strRef>
          </c:cat>
          <c:val>
            <c:numRef>
              <c:f>Sheet1!$B$4:$K$4</c:f>
              <c:numCache>
                <c:formatCode>General</c:formatCode>
                <c:ptCount val="10"/>
                <c:pt idx="0">
                  <c:v>99</c:v>
                </c:pt>
                <c:pt idx="1">
                  <c:v>59</c:v>
                </c:pt>
                <c:pt idx="2">
                  <c:v>97</c:v>
                </c:pt>
                <c:pt idx="3">
                  <c:v>125</c:v>
                </c:pt>
                <c:pt idx="4">
                  <c:v>115</c:v>
                </c:pt>
                <c:pt idx="5">
                  <c:v>112</c:v>
                </c:pt>
                <c:pt idx="6">
                  <c:v>55</c:v>
                </c:pt>
                <c:pt idx="7">
                  <c:v>78</c:v>
                </c:pt>
                <c:pt idx="8">
                  <c:v>97</c:v>
                </c:pt>
                <c:pt idx="9">
                  <c:v>86</c:v>
                </c:pt>
              </c:numCache>
            </c:numRef>
          </c:val>
          <c:smooth val="0"/>
        </c:ser>
        <c:ser>
          <c:idx val="3"/>
          <c:order val="3"/>
          <c:tx>
            <c:strRef>
              <c:f>Sheet1!$A$5</c:f>
              <c:strCache>
                <c:ptCount val="1"/>
                <c:pt idx="0">
                  <c:v>Purchasing Index</c:v>
                </c:pt>
              </c:strCache>
            </c:strRef>
          </c:tx>
          <c:spPr>
            <a:ln w="12700">
              <a:solidFill>
                <a:prstClr val="black"/>
              </a:solidFill>
            </a:ln>
          </c:spPr>
          <c:marker>
            <c:symbol val="circle"/>
            <c:size val="10"/>
            <c:spPr>
              <a:solidFill>
                <a:srgbClr val="7030A0"/>
              </a:solidFill>
              <a:ln w="12700">
                <a:solidFill>
                  <a:schemeClr val="tx1"/>
                </a:solidFill>
              </a:ln>
            </c:spPr>
          </c:marker>
          <c:cat>
            <c:strRef>
              <c:f>Sheet1!$B$1:$K$1</c:f>
              <c:strCache>
                <c:ptCount val="10"/>
                <c:pt idx="0">
                  <c:v>Ma11</c:v>
                </c:pt>
                <c:pt idx="1">
                  <c:v>Se11</c:v>
                </c:pt>
                <c:pt idx="2">
                  <c:v>De11</c:v>
                </c:pt>
                <c:pt idx="3">
                  <c:v>Ja12</c:v>
                </c:pt>
                <c:pt idx="4">
                  <c:v>Ap12</c:v>
                </c:pt>
                <c:pt idx="5">
                  <c:v>Se12</c:v>
                </c:pt>
                <c:pt idx="6">
                  <c:v>No12</c:v>
                </c:pt>
                <c:pt idx="7">
                  <c:v>Fe13</c:v>
                </c:pt>
                <c:pt idx="8">
                  <c:v>Ap13</c:v>
                </c:pt>
                <c:pt idx="9">
                  <c:v>Se13</c:v>
                </c:pt>
              </c:strCache>
            </c:strRef>
          </c:cat>
          <c:val>
            <c:numRef>
              <c:f>Sheet1!$B$5:$K$5</c:f>
              <c:numCache>
                <c:formatCode>General</c:formatCode>
                <c:ptCount val="10"/>
                <c:pt idx="0">
                  <c:v>44</c:v>
                </c:pt>
                <c:pt idx="1">
                  <c:v>54</c:v>
                </c:pt>
                <c:pt idx="2">
                  <c:v>79</c:v>
                </c:pt>
                <c:pt idx="3">
                  <c:v>81</c:v>
                </c:pt>
                <c:pt idx="4">
                  <c:v>93</c:v>
                </c:pt>
                <c:pt idx="5">
                  <c:v>92</c:v>
                </c:pt>
                <c:pt idx="6">
                  <c:v>73</c:v>
                </c:pt>
                <c:pt idx="7">
                  <c:v>82</c:v>
                </c:pt>
                <c:pt idx="8">
                  <c:v>95</c:v>
                </c:pt>
                <c:pt idx="9">
                  <c:v>95</c:v>
                </c:pt>
              </c:numCache>
            </c:numRef>
          </c:val>
          <c:smooth val="0"/>
        </c:ser>
        <c:dLbls>
          <c:showLegendKey val="0"/>
          <c:showVal val="0"/>
          <c:showCatName val="0"/>
          <c:showSerName val="0"/>
          <c:showPercent val="0"/>
          <c:showBubbleSize val="0"/>
        </c:dLbls>
        <c:marker val="1"/>
        <c:smooth val="0"/>
        <c:axId val="80390016"/>
        <c:axId val="99586048"/>
      </c:lineChart>
      <c:catAx>
        <c:axId val="80390016"/>
        <c:scaling>
          <c:orientation val="minMax"/>
        </c:scaling>
        <c:delete val="0"/>
        <c:axPos val="b"/>
        <c:numFmt formatCode="General" sourceLinked="1"/>
        <c:majorTickMark val="out"/>
        <c:minorTickMark val="none"/>
        <c:tickLblPos val="nextTo"/>
        <c:txPr>
          <a:bodyPr/>
          <a:lstStyle/>
          <a:p>
            <a:pPr>
              <a:defRPr sz="1200" b="1">
                <a:latin typeface="Arial" pitchFamily="34" charset="0"/>
                <a:cs typeface="Arial" pitchFamily="34" charset="0"/>
              </a:defRPr>
            </a:pPr>
            <a:endParaRPr lang="en-US"/>
          </a:p>
        </c:txPr>
        <c:crossAx val="99586048"/>
        <c:crosses val="autoZero"/>
        <c:auto val="1"/>
        <c:lblAlgn val="ctr"/>
        <c:lblOffset val="100"/>
        <c:noMultiLvlLbl val="0"/>
      </c:catAx>
      <c:valAx>
        <c:axId val="99586048"/>
        <c:scaling>
          <c:orientation val="minMax"/>
          <c:max val="250"/>
          <c:min val="-150"/>
        </c:scaling>
        <c:delete val="0"/>
        <c:axPos val="l"/>
        <c:majorGridlines/>
        <c:numFmt formatCode="General" sourceLinked="1"/>
        <c:majorTickMark val="out"/>
        <c:minorTickMark val="none"/>
        <c:tickLblPos val="nextTo"/>
        <c:txPr>
          <a:bodyPr/>
          <a:lstStyle/>
          <a:p>
            <a:pPr>
              <a:defRPr b="1">
                <a:latin typeface="Arial" pitchFamily="34" charset="0"/>
                <a:cs typeface="Arial" pitchFamily="34" charset="0"/>
              </a:defRPr>
            </a:pPr>
            <a:endParaRPr lang="en-US"/>
          </a:p>
        </c:txPr>
        <c:crossAx val="80390016"/>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a:pPr>
            <a:r>
              <a:rPr lang="en-US" sz="1199" b="1" i="0"/>
              <a:t>Do</a:t>
            </a:r>
            <a:r>
              <a:rPr lang="en-US" sz="1199" b="1" i="0" baseline="0"/>
              <a:t> you think that in the next year the overall amount of taxes that you pay will increase, decrease, or stay about the same?</a:t>
            </a:r>
            <a:endParaRPr lang="en-US" sz="1200" b="1" i="0"/>
          </a:p>
        </c:rich>
      </c:tx>
      <c:layout>
        <c:manualLayout>
          <c:xMode val="edge"/>
          <c:yMode val="edge"/>
          <c:x val="0.10462387853692279"/>
          <c:y val="2.3809523809523812E-2"/>
        </c:manualLayout>
      </c:layout>
      <c:overlay val="0"/>
    </c:title>
    <c:autoTitleDeleted val="0"/>
    <c:plotArea>
      <c:layout/>
      <c:barChart>
        <c:barDir val="col"/>
        <c:grouping val="clustered"/>
        <c:varyColors val="0"/>
        <c:ser>
          <c:idx val="0"/>
          <c:order val="0"/>
          <c:tx>
            <c:strRef>
              <c:f>Sheet1!$B$1</c:f>
              <c:strCache>
                <c:ptCount val="1"/>
                <c:pt idx="0">
                  <c:v>Sept'12</c:v>
                </c:pt>
              </c:strCache>
            </c:strRef>
          </c:tx>
          <c:spPr>
            <a:solidFill>
              <a:srgbClr val="4F81B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Sheet1!$B$2:$B$4</c:f>
              <c:numCache>
                <c:formatCode>0%</c:formatCode>
                <c:ptCount val="3"/>
                <c:pt idx="0">
                  <c:v>0.09</c:v>
                </c:pt>
                <c:pt idx="1">
                  <c:v>0.33</c:v>
                </c:pt>
                <c:pt idx="2">
                  <c:v>0.59</c:v>
                </c:pt>
              </c:numCache>
            </c:numRef>
          </c:val>
        </c:ser>
        <c:ser>
          <c:idx val="1"/>
          <c:order val="1"/>
          <c:tx>
            <c:strRef>
              <c:f>Sheet1!$C$1</c:f>
              <c:strCache>
                <c:ptCount val="1"/>
                <c:pt idx="0">
                  <c:v>Nov'12</c:v>
                </c:pt>
              </c:strCache>
            </c:strRef>
          </c:tx>
          <c:spPr>
            <a:solidFill>
              <a:schemeClr val="accent2">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Sheet1!$C$2:$C$4</c:f>
              <c:numCache>
                <c:formatCode>0%</c:formatCode>
                <c:ptCount val="3"/>
                <c:pt idx="0">
                  <c:v>0.03</c:v>
                </c:pt>
                <c:pt idx="1">
                  <c:v>0.23</c:v>
                </c:pt>
                <c:pt idx="2">
                  <c:v>0.74</c:v>
                </c:pt>
              </c:numCache>
            </c:numRef>
          </c:val>
        </c:ser>
        <c:ser>
          <c:idx val="2"/>
          <c:order val="2"/>
          <c:tx>
            <c:strRef>
              <c:f>Sheet1!$D$1</c:f>
              <c:strCache>
                <c:ptCount val="1"/>
                <c:pt idx="0">
                  <c:v>Feb'13</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Sheet1!$D$2:$D$4</c:f>
              <c:numCache>
                <c:formatCode>0%</c:formatCode>
                <c:ptCount val="3"/>
                <c:pt idx="0">
                  <c:v>0.04</c:v>
                </c:pt>
                <c:pt idx="1">
                  <c:v>0.22</c:v>
                </c:pt>
                <c:pt idx="2">
                  <c:v>0.74</c:v>
                </c:pt>
              </c:numCache>
            </c:numRef>
          </c:val>
        </c:ser>
        <c:ser>
          <c:idx val="3"/>
          <c:order val="3"/>
          <c:tx>
            <c:strRef>
              <c:f>Sheet1!$E$1</c:f>
              <c:strCache>
                <c:ptCount val="1"/>
                <c:pt idx="0">
                  <c:v>Apr'13</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Sheet1!$E$2:$E$4</c:f>
              <c:numCache>
                <c:formatCode>0%</c:formatCode>
                <c:ptCount val="3"/>
                <c:pt idx="0">
                  <c:v>0.06</c:v>
                </c:pt>
                <c:pt idx="1">
                  <c:v>0.22</c:v>
                </c:pt>
                <c:pt idx="2">
                  <c:v>0.73</c:v>
                </c:pt>
              </c:numCache>
            </c:numRef>
          </c:val>
        </c:ser>
        <c:ser>
          <c:idx val="4"/>
          <c:order val="4"/>
          <c:tx>
            <c:strRef>
              <c:f>Sheet1!$F$1</c:f>
              <c:strCache>
                <c:ptCount val="1"/>
                <c:pt idx="0">
                  <c:v>Sept'13</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Sheet1!$F$2:$F$4</c:f>
              <c:numCache>
                <c:formatCode>0%</c:formatCode>
                <c:ptCount val="3"/>
                <c:pt idx="0">
                  <c:v>0.04</c:v>
                </c:pt>
                <c:pt idx="1">
                  <c:v>0.32</c:v>
                </c:pt>
                <c:pt idx="2">
                  <c:v>0.64</c:v>
                </c:pt>
              </c:numCache>
            </c:numRef>
          </c:val>
        </c:ser>
        <c:dLbls>
          <c:showLegendKey val="0"/>
          <c:showVal val="1"/>
          <c:showCatName val="0"/>
          <c:showSerName val="0"/>
          <c:showPercent val="0"/>
          <c:showBubbleSize val="0"/>
        </c:dLbls>
        <c:gapWidth val="150"/>
        <c:axId val="70187264"/>
        <c:axId val="70369280"/>
      </c:barChart>
      <c:catAx>
        <c:axId val="70187264"/>
        <c:scaling>
          <c:orientation val="minMax"/>
        </c:scaling>
        <c:delete val="0"/>
        <c:axPos val="b"/>
        <c:numFmt formatCode="General" sourceLinked="1"/>
        <c:majorTickMark val="out"/>
        <c:minorTickMark val="none"/>
        <c:tickLblPos val="nextTo"/>
        <c:txPr>
          <a:bodyPr/>
          <a:lstStyle/>
          <a:p>
            <a:pPr>
              <a:defRPr b="0"/>
            </a:pPr>
            <a:endParaRPr lang="en-US"/>
          </a:p>
        </c:txPr>
        <c:crossAx val="70369280"/>
        <c:crosses val="autoZero"/>
        <c:auto val="1"/>
        <c:lblAlgn val="ctr"/>
        <c:lblOffset val="100"/>
        <c:noMultiLvlLbl val="0"/>
      </c:catAx>
      <c:valAx>
        <c:axId val="70369280"/>
        <c:scaling>
          <c:orientation val="minMax"/>
        </c:scaling>
        <c:delete val="0"/>
        <c:axPos val="l"/>
        <c:numFmt formatCode="0%" sourceLinked="1"/>
        <c:majorTickMark val="out"/>
        <c:minorTickMark val="none"/>
        <c:tickLblPos val="nextTo"/>
        <c:txPr>
          <a:bodyPr/>
          <a:lstStyle/>
          <a:p>
            <a:pPr>
              <a:defRPr b="0"/>
            </a:pPr>
            <a:endParaRPr lang="en-US"/>
          </a:p>
        </c:txPr>
        <c:crossAx val="70187264"/>
        <c:crosses val="autoZero"/>
        <c:crossBetween val="between"/>
      </c:valAx>
      <c:spPr>
        <a:ln>
          <a:noFill/>
        </a:ln>
      </c:spPr>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a:pPr>
            <a:r>
              <a:rPr lang="en-US" sz="1199" b="1"/>
              <a:t>Do you think that 12 months from now the overall level (value) of the U.S. Stock Market will be higher than it is today, lower than it is today,</a:t>
            </a:r>
            <a:r>
              <a:rPr lang="en-US" sz="1199" b="1" baseline="0"/>
              <a:t> or about the same?</a:t>
            </a:r>
            <a:endParaRPr lang="en-US" sz="1200" b="1"/>
          </a:p>
        </c:rich>
      </c:tx>
      <c:layout>
        <c:manualLayout>
          <c:xMode val="edge"/>
          <c:yMode val="edge"/>
          <c:x val="9.4937033270487567E-2"/>
          <c:y val="0"/>
        </c:manualLayout>
      </c:layout>
      <c:overlay val="0"/>
    </c:title>
    <c:autoTitleDeleted val="0"/>
    <c:plotArea>
      <c:layout/>
      <c:barChart>
        <c:barDir val="col"/>
        <c:grouping val="clustered"/>
        <c:varyColors val="0"/>
        <c:ser>
          <c:idx val="0"/>
          <c:order val="0"/>
          <c:tx>
            <c:strRef>
              <c:f>Sheet1!$B$1</c:f>
              <c:strCache>
                <c:ptCount val="1"/>
                <c:pt idx="0">
                  <c:v>Sept'12</c:v>
                </c:pt>
              </c:strCache>
            </c:strRef>
          </c:tx>
          <c:invertIfNegative val="0"/>
          <c:cat>
            <c:strRef>
              <c:f>Sheet1!$A$2:$A$4</c:f>
              <c:strCache>
                <c:ptCount val="3"/>
                <c:pt idx="0">
                  <c:v>Lower</c:v>
                </c:pt>
                <c:pt idx="1">
                  <c:v>Same</c:v>
                </c:pt>
                <c:pt idx="2">
                  <c:v>Higher</c:v>
                </c:pt>
              </c:strCache>
            </c:strRef>
          </c:cat>
          <c:val>
            <c:numRef>
              <c:f>Sheet1!$B$2:$B$4</c:f>
              <c:numCache>
                <c:formatCode>0%</c:formatCode>
                <c:ptCount val="3"/>
                <c:pt idx="0">
                  <c:v>0.15</c:v>
                </c:pt>
                <c:pt idx="1">
                  <c:v>0.41</c:v>
                </c:pt>
                <c:pt idx="2">
                  <c:v>0.44</c:v>
                </c:pt>
              </c:numCache>
            </c:numRef>
          </c:val>
        </c:ser>
        <c:ser>
          <c:idx val="1"/>
          <c:order val="1"/>
          <c:tx>
            <c:strRef>
              <c:f>Sheet1!$C$1</c:f>
              <c:strCache>
                <c:ptCount val="1"/>
                <c:pt idx="0">
                  <c:v>Nov'12</c:v>
                </c:pt>
              </c:strCache>
            </c:strRef>
          </c:tx>
          <c:spPr>
            <a:solidFill>
              <a:srgbClr val="C0504D">
                <a:lumMod val="60000"/>
                <a:lumOff val="40000"/>
              </a:srgbClr>
            </a:solidFill>
          </c:spPr>
          <c:invertIfNegative val="0"/>
          <c:cat>
            <c:strRef>
              <c:f>Sheet1!$A$2:$A$4</c:f>
              <c:strCache>
                <c:ptCount val="3"/>
                <c:pt idx="0">
                  <c:v>Lower</c:v>
                </c:pt>
                <c:pt idx="1">
                  <c:v>Same</c:v>
                </c:pt>
                <c:pt idx="2">
                  <c:v>Higher</c:v>
                </c:pt>
              </c:strCache>
            </c:strRef>
          </c:cat>
          <c:val>
            <c:numRef>
              <c:f>Sheet1!$C$2:$C$4</c:f>
              <c:numCache>
                <c:formatCode>0%</c:formatCode>
                <c:ptCount val="3"/>
                <c:pt idx="0">
                  <c:v>0.27</c:v>
                </c:pt>
                <c:pt idx="1">
                  <c:v>0.34</c:v>
                </c:pt>
                <c:pt idx="2">
                  <c:v>0.39</c:v>
                </c:pt>
              </c:numCache>
            </c:numRef>
          </c:val>
        </c:ser>
        <c:ser>
          <c:idx val="2"/>
          <c:order val="2"/>
          <c:tx>
            <c:strRef>
              <c:f>Sheet1!$D$1</c:f>
              <c:strCache>
                <c:ptCount val="1"/>
                <c:pt idx="0">
                  <c:v>Feb'13</c:v>
                </c:pt>
              </c:strCache>
            </c:strRef>
          </c:tx>
          <c:spPr>
            <a:solidFill>
              <a:srgbClr val="9BBB59"/>
            </a:solidFill>
          </c:spPr>
          <c:invertIfNegative val="0"/>
          <c:cat>
            <c:strRef>
              <c:f>Sheet1!$A$2:$A$4</c:f>
              <c:strCache>
                <c:ptCount val="3"/>
                <c:pt idx="0">
                  <c:v>Lower</c:v>
                </c:pt>
                <c:pt idx="1">
                  <c:v>Same</c:v>
                </c:pt>
                <c:pt idx="2">
                  <c:v>Higher</c:v>
                </c:pt>
              </c:strCache>
            </c:strRef>
          </c:cat>
          <c:val>
            <c:numRef>
              <c:f>Sheet1!$D$2:$D$4</c:f>
              <c:numCache>
                <c:formatCode>0%</c:formatCode>
                <c:ptCount val="3"/>
                <c:pt idx="0">
                  <c:v>0.23</c:v>
                </c:pt>
                <c:pt idx="1">
                  <c:v>0.37</c:v>
                </c:pt>
                <c:pt idx="2">
                  <c:v>0.4</c:v>
                </c:pt>
              </c:numCache>
            </c:numRef>
          </c:val>
        </c:ser>
        <c:ser>
          <c:idx val="3"/>
          <c:order val="3"/>
          <c:tx>
            <c:strRef>
              <c:f>Sheet1!$E$1</c:f>
              <c:strCache>
                <c:ptCount val="1"/>
                <c:pt idx="0">
                  <c:v>Apr'13</c:v>
                </c:pt>
              </c:strCache>
            </c:strRef>
          </c:tx>
          <c:spPr>
            <a:solidFill>
              <a:srgbClr val="C0504D"/>
            </a:solidFill>
          </c:spPr>
          <c:invertIfNegative val="0"/>
          <c:cat>
            <c:strRef>
              <c:f>Sheet1!$A$2:$A$4</c:f>
              <c:strCache>
                <c:ptCount val="3"/>
                <c:pt idx="0">
                  <c:v>Lower</c:v>
                </c:pt>
                <c:pt idx="1">
                  <c:v>Same</c:v>
                </c:pt>
                <c:pt idx="2">
                  <c:v>Higher</c:v>
                </c:pt>
              </c:strCache>
            </c:strRef>
          </c:cat>
          <c:val>
            <c:numRef>
              <c:f>Sheet1!$E$2:$E$4</c:f>
              <c:numCache>
                <c:formatCode>0%</c:formatCode>
                <c:ptCount val="3"/>
                <c:pt idx="0">
                  <c:v>0.17</c:v>
                </c:pt>
                <c:pt idx="1">
                  <c:v>0.49</c:v>
                </c:pt>
                <c:pt idx="2">
                  <c:v>0.33</c:v>
                </c:pt>
              </c:numCache>
            </c:numRef>
          </c:val>
        </c:ser>
        <c:ser>
          <c:idx val="4"/>
          <c:order val="4"/>
          <c:tx>
            <c:strRef>
              <c:f>Sheet1!$F$1</c:f>
              <c:strCache>
                <c:ptCount val="1"/>
                <c:pt idx="0">
                  <c:v>Sept'13</c:v>
                </c:pt>
              </c:strCache>
            </c:strRef>
          </c:tx>
          <c:spPr>
            <a:solidFill>
              <a:srgbClr val="4BACC6"/>
            </a:solidFill>
          </c:spPr>
          <c:invertIfNegative val="0"/>
          <c:cat>
            <c:strRef>
              <c:f>Sheet1!$A$2:$A$4</c:f>
              <c:strCache>
                <c:ptCount val="3"/>
                <c:pt idx="0">
                  <c:v>Lower</c:v>
                </c:pt>
                <c:pt idx="1">
                  <c:v>Same</c:v>
                </c:pt>
                <c:pt idx="2">
                  <c:v>Higher</c:v>
                </c:pt>
              </c:strCache>
            </c:strRef>
          </c:cat>
          <c:val>
            <c:numRef>
              <c:f>Sheet1!$F$2:$F$4</c:f>
              <c:numCache>
                <c:formatCode>0%</c:formatCode>
                <c:ptCount val="3"/>
                <c:pt idx="0">
                  <c:v>0.18</c:v>
                </c:pt>
                <c:pt idx="1">
                  <c:v>0.49</c:v>
                </c:pt>
                <c:pt idx="2">
                  <c:v>0.33</c:v>
                </c:pt>
              </c:numCache>
            </c:numRef>
          </c:val>
        </c:ser>
        <c:dLbls>
          <c:showLegendKey val="0"/>
          <c:showVal val="1"/>
          <c:showCatName val="0"/>
          <c:showSerName val="0"/>
          <c:showPercent val="0"/>
          <c:showBubbleSize val="0"/>
        </c:dLbls>
        <c:gapWidth val="150"/>
        <c:axId val="77526528"/>
        <c:axId val="77528064"/>
      </c:barChart>
      <c:catAx>
        <c:axId val="77526528"/>
        <c:scaling>
          <c:orientation val="minMax"/>
        </c:scaling>
        <c:delete val="0"/>
        <c:axPos val="b"/>
        <c:numFmt formatCode="General" sourceLinked="1"/>
        <c:majorTickMark val="out"/>
        <c:minorTickMark val="none"/>
        <c:tickLblPos val="nextTo"/>
        <c:txPr>
          <a:bodyPr/>
          <a:lstStyle/>
          <a:p>
            <a:pPr>
              <a:defRPr b="0"/>
            </a:pPr>
            <a:endParaRPr lang="en-US"/>
          </a:p>
        </c:txPr>
        <c:crossAx val="77528064"/>
        <c:crosses val="autoZero"/>
        <c:auto val="1"/>
        <c:lblAlgn val="ctr"/>
        <c:lblOffset val="100"/>
        <c:noMultiLvlLbl val="0"/>
      </c:catAx>
      <c:valAx>
        <c:axId val="77528064"/>
        <c:scaling>
          <c:orientation val="minMax"/>
        </c:scaling>
        <c:delete val="0"/>
        <c:axPos val="l"/>
        <c:numFmt formatCode="0%" sourceLinked="1"/>
        <c:majorTickMark val="out"/>
        <c:minorTickMark val="none"/>
        <c:tickLblPos val="nextTo"/>
        <c:txPr>
          <a:bodyPr/>
          <a:lstStyle/>
          <a:p>
            <a:pPr>
              <a:defRPr b="0"/>
            </a:pPr>
            <a:endParaRPr lang="en-US"/>
          </a:p>
        </c:txPr>
        <c:crossAx val="77526528"/>
        <c:crosses val="autoZero"/>
        <c:crossBetween val="between"/>
        <c:majorUnit val="0.1"/>
      </c:valAx>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latin typeface="+mn-lt"/>
                <a:cs typeface="Times New Roman" pitchFamily="18" charset="0"/>
              </a:rPr>
              <a:t>Thinking</a:t>
            </a:r>
            <a:r>
              <a:rPr lang="en-US" sz="1200" b="1" baseline="0">
                <a:latin typeface="+mn-lt"/>
                <a:cs typeface="Times New Roman" pitchFamily="18" charset="0"/>
              </a:rPr>
              <a:t> about your overall level of consumer spending, d</a:t>
            </a:r>
            <a:r>
              <a:rPr lang="en-US" sz="1200" b="1">
                <a:latin typeface="+mn-lt"/>
                <a:cs typeface="Times New Roman" pitchFamily="18" charset="0"/>
              </a:rPr>
              <a:t>o you think that you will spend more, spend less, or spend about the same as</a:t>
            </a:r>
            <a:r>
              <a:rPr lang="en-US" sz="1200" b="1" baseline="0">
                <a:latin typeface="+mn-lt"/>
                <a:cs typeface="Times New Roman" pitchFamily="18" charset="0"/>
              </a:rPr>
              <a:t> you did last year?</a:t>
            </a:r>
            <a:endParaRPr lang="en-US" sz="1200" b="1">
              <a:latin typeface="+mn-lt"/>
              <a:cs typeface="Times New Roman" pitchFamily="18" charset="0"/>
            </a:endParaRPr>
          </a:p>
        </c:rich>
      </c:tx>
      <c:layout>
        <c:manualLayout>
          <c:xMode val="edge"/>
          <c:yMode val="edge"/>
          <c:x val="0.11915436461540681"/>
          <c:y val="0"/>
        </c:manualLayout>
      </c:layout>
      <c:overlay val="0"/>
    </c:title>
    <c:autoTitleDeleted val="0"/>
    <c:plotArea>
      <c:layout/>
      <c:barChart>
        <c:barDir val="col"/>
        <c:grouping val="clustered"/>
        <c:varyColors val="0"/>
        <c:ser>
          <c:idx val="0"/>
          <c:order val="0"/>
          <c:tx>
            <c:strRef>
              <c:f>Sheet1!$B$1</c:f>
              <c:strCache>
                <c:ptCount val="1"/>
                <c:pt idx="0">
                  <c:v>Sept'12</c:v>
                </c:pt>
              </c:strCache>
            </c:strRef>
          </c:tx>
          <c:spPr>
            <a:solidFill>
              <a:srgbClr val="4F81BD"/>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Sheet1!$B$2:$B$4</c:f>
              <c:numCache>
                <c:formatCode>0%</c:formatCode>
                <c:ptCount val="3"/>
                <c:pt idx="0">
                  <c:v>0.26</c:v>
                </c:pt>
                <c:pt idx="1">
                  <c:v>0.43</c:v>
                </c:pt>
                <c:pt idx="2">
                  <c:v>0.31</c:v>
                </c:pt>
              </c:numCache>
            </c:numRef>
          </c:val>
        </c:ser>
        <c:ser>
          <c:idx val="1"/>
          <c:order val="1"/>
          <c:tx>
            <c:strRef>
              <c:f>Sheet1!$C$1</c:f>
              <c:strCache>
                <c:ptCount val="1"/>
                <c:pt idx="0">
                  <c:v>Nov'12</c:v>
                </c:pt>
              </c:strCache>
            </c:strRef>
          </c:tx>
          <c:spPr>
            <a:solidFill>
              <a:schemeClr val="accent2">
                <a:lumMod val="60000"/>
                <a:lumOff val="40000"/>
              </a:schemeClr>
            </a:solidFill>
            <a:ln w="3174"/>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Sheet1!$C$2:$C$4</c:f>
              <c:numCache>
                <c:formatCode>0%</c:formatCode>
                <c:ptCount val="3"/>
                <c:pt idx="0">
                  <c:v>0.28999999999999998</c:v>
                </c:pt>
                <c:pt idx="1">
                  <c:v>0.45</c:v>
                </c:pt>
                <c:pt idx="2">
                  <c:v>0.26</c:v>
                </c:pt>
              </c:numCache>
            </c:numRef>
          </c:val>
        </c:ser>
        <c:ser>
          <c:idx val="2"/>
          <c:order val="2"/>
          <c:tx>
            <c:strRef>
              <c:f>Sheet1!$D$1</c:f>
              <c:strCache>
                <c:ptCount val="1"/>
                <c:pt idx="0">
                  <c:v>Feb'13</c:v>
                </c:pt>
              </c:strCache>
            </c:strRef>
          </c:tx>
          <c:spPr>
            <a:solidFill>
              <a:srgbClr val="9BBB59"/>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Sheet1!$D$2:$D$4</c:f>
              <c:numCache>
                <c:formatCode>0%</c:formatCode>
                <c:ptCount val="3"/>
                <c:pt idx="0">
                  <c:v>0.33</c:v>
                </c:pt>
                <c:pt idx="1">
                  <c:v>0.46</c:v>
                </c:pt>
                <c:pt idx="2">
                  <c:v>0.21</c:v>
                </c:pt>
              </c:numCache>
            </c:numRef>
          </c:val>
        </c:ser>
        <c:ser>
          <c:idx val="3"/>
          <c:order val="3"/>
          <c:tx>
            <c:strRef>
              <c:f>Sheet1!$E$1</c:f>
              <c:strCache>
                <c:ptCount val="1"/>
                <c:pt idx="0">
                  <c:v>Apr'13</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Sheet1!$E$2:$E$4</c:f>
              <c:numCache>
                <c:formatCode>0%</c:formatCode>
                <c:ptCount val="3"/>
                <c:pt idx="0">
                  <c:v>0.28000000000000003</c:v>
                </c:pt>
                <c:pt idx="1">
                  <c:v>0.4</c:v>
                </c:pt>
                <c:pt idx="2">
                  <c:v>0.31</c:v>
                </c:pt>
              </c:numCache>
            </c:numRef>
          </c:val>
        </c:ser>
        <c:ser>
          <c:idx val="4"/>
          <c:order val="4"/>
          <c:tx>
            <c:strRef>
              <c:f>Sheet1!$F$1</c:f>
              <c:strCache>
                <c:ptCount val="1"/>
                <c:pt idx="0">
                  <c:v>Sept'13</c:v>
                </c:pt>
              </c:strCache>
            </c:strRef>
          </c:tx>
          <c:spPr>
            <a:solidFill>
              <a:srgbClr val="4BACC6"/>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Sheet1!$F$2:$F$4</c:f>
              <c:numCache>
                <c:formatCode>0%</c:formatCode>
                <c:ptCount val="3"/>
                <c:pt idx="0">
                  <c:v>0.2</c:v>
                </c:pt>
                <c:pt idx="1">
                  <c:v>0.45</c:v>
                </c:pt>
                <c:pt idx="2">
                  <c:v>0.35</c:v>
                </c:pt>
              </c:numCache>
            </c:numRef>
          </c:val>
        </c:ser>
        <c:dLbls>
          <c:showLegendKey val="0"/>
          <c:showVal val="1"/>
          <c:showCatName val="0"/>
          <c:showSerName val="0"/>
          <c:showPercent val="0"/>
          <c:showBubbleSize val="0"/>
        </c:dLbls>
        <c:gapWidth val="150"/>
        <c:axId val="79520512"/>
        <c:axId val="79522048"/>
      </c:barChart>
      <c:catAx>
        <c:axId val="79520512"/>
        <c:scaling>
          <c:orientation val="minMax"/>
        </c:scaling>
        <c:delete val="0"/>
        <c:axPos val="b"/>
        <c:numFmt formatCode="General" sourceLinked="1"/>
        <c:majorTickMark val="out"/>
        <c:minorTickMark val="none"/>
        <c:tickLblPos val="nextTo"/>
        <c:txPr>
          <a:bodyPr/>
          <a:lstStyle/>
          <a:p>
            <a:pPr>
              <a:defRPr b="0"/>
            </a:pPr>
            <a:endParaRPr lang="en-US"/>
          </a:p>
        </c:txPr>
        <c:crossAx val="79522048"/>
        <c:crosses val="autoZero"/>
        <c:auto val="1"/>
        <c:lblAlgn val="ctr"/>
        <c:lblOffset val="100"/>
        <c:noMultiLvlLbl val="0"/>
      </c:catAx>
      <c:valAx>
        <c:axId val="79522048"/>
        <c:scaling>
          <c:orientation val="minMax"/>
        </c:scaling>
        <c:delete val="0"/>
        <c:axPos val="l"/>
        <c:numFmt formatCode="0%" sourceLinked="1"/>
        <c:majorTickMark val="out"/>
        <c:minorTickMark val="none"/>
        <c:tickLblPos val="nextTo"/>
        <c:txPr>
          <a:bodyPr/>
          <a:lstStyle/>
          <a:p>
            <a:pPr>
              <a:defRPr b="0"/>
            </a:pPr>
            <a:endParaRPr lang="en-US"/>
          </a:p>
        </c:txPr>
        <c:crossAx val="79520512"/>
        <c:crosses val="autoZero"/>
        <c:crossBetween val="between"/>
        <c:majorUnit val="0.1"/>
      </c:valAx>
    </c:plotArea>
    <c:legend>
      <c:legendPos val="t"/>
      <c:layout>
        <c:manualLayout>
          <c:xMode val="edge"/>
          <c:yMode val="edge"/>
          <c:x val="9.2974190726159242E-2"/>
          <c:y val="0.2500636393053608"/>
          <c:w val="0.74383811172532877"/>
          <c:h val="9.0370247488741673E-2"/>
        </c:manualLayout>
      </c:layout>
      <c:overlay val="0"/>
      <c:txPr>
        <a:bodyPr/>
        <a:lstStyle/>
        <a:p>
          <a:pPr>
            <a:defRPr sz="1200" b="0"/>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Overall Outlook Index</c:v>
                </c:pt>
              </c:strCache>
            </c:strRef>
          </c:tx>
          <c:marker>
            <c:symbol val="diamond"/>
            <c:size val="9"/>
          </c:marker>
          <c:cat>
            <c:strRef>
              <c:f>Sheet1!$B$1:$BL$1</c:f>
              <c:strCache>
                <c:ptCount val="63"/>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strCache>
            </c:strRef>
          </c:cat>
          <c:val>
            <c:numRef>
              <c:f>Sheet1!$B$2:$BL$2</c:f>
              <c:numCache>
                <c:formatCode>General</c:formatCode>
                <c:ptCount val="63"/>
                <c:pt idx="0" formatCode="0">
                  <c:v>361.1</c:v>
                </c:pt>
                <c:pt idx="1">
                  <c:v>312.3</c:v>
                </c:pt>
                <c:pt idx="2">
                  <c:v>326.60000000000002</c:v>
                </c:pt>
                <c:pt idx="3">
                  <c:v>299.3</c:v>
                </c:pt>
                <c:pt idx="4">
                  <c:v>315</c:v>
                </c:pt>
                <c:pt idx="5">
                  <c:v>368</c:v>
                </c:pt>
                <c:pt idx="6">
                  <c:v>328.2</c:v>
                </c:pt>
                <c:pt idx="7">
                  <c:v>326</c:v>
                </c:pt>
                <c:pt idx="8">
                  <c:v>269</c:v>
                </c:pt>
                <c:pt idx="9">
                  <c:v>227</c:v>
                </c:pt>
                <c:pt idx="10" formatCode="0">
                  <c:v>286</c:v>
                </c:pt>
                <c:pt idx="11">
                  <c:v>191</c:v>
                </c:pt>
                <c:pt idx="12">
                  <c:v>342</c:v>
                </c:pt>
                <c:pt idx="13">
                  <c:v>345</c:v>
                </c:pt>
                <c:pt idx="14">
                  <c:v>306</c:v>
                </c:pt>
                <c:pt idx="15">
                  <c:v>390</c:v>
                </c:pt>
                <c:pt idx="16">
                  <c:v>301</c:v>
                </c:pt>
                <c:pt idx="17">
                  <c:v>317</c:v>
                </c:pt>
                <c:pt idx="18">
                  <c:v>360</c:v>
                </c:pt>
                <c:pt idx="19">
                  <c:v>318</c:v>
                </c:pt>
                <c:pt idx="20">
                  <c:v>336</c:v>
                </c:pt>
                <c:pt idx="21">
                  <c:v>307</c:v>
                </c:pt>
                <c:pt idx="22">
                  <c:v>264</c:v>
                </c:pt>
                <c:pt idx="23">
                  <c:v>294</c:v>
                </c:pt>
                <c:pt idx="24">
                  <c:v>264</c:v>
                </c:pt>
                <c:pt idx="25">
                  <c:v>308</c:v>
                </c:pt>
                <c:pt idx="26">
                  <c:v>311</c:v>
                </c:pt>
                <c:pt idx="27">
                  <c:v>260</c:v>
                </c:pt>
                <c:pt idx="28">
                  <c:v>283</c:v>
                </c:pt>
                <c:pt idx="29">
                  <c:v>335</c:v>
                </c:pt>
                <c:pt idx="30">
                  <c:v>242</c:v>
                </c:pt>
                <c:pt idx="31">
                  <c:v>319</c:v>
                </c:pt>
                <c:pt idx="32">
                  <c:v>278</c:v>
                </c:pt>
                <c:pt idx="33">
                  <c:v>206</c:v>
                </c:pt>
                <c:pt idx="34">
                  <c:v>242</c:v>
                </c:pt>
                <c:pt idx="35">
                  <c:v>225</c:v>
                </c:pt>
                <c:pt idx="36">
                  <c:v>158</c:v>
                </c:pt>
                <c:pt idx="37">
                  <c:v>44</c:v>
                </c:pt>
                <c:pt idx="38">
                  <c:v>30</c:v>
                </c:pt>
                <c:pt idx="39">
                  <c:v>1</c:v>
                </c:pt>
                <c:pt idx="40">
                  <c:v>4</c:v>
                </c:pt>
                <c:pt idx="41">
                  <c:v>-66</c:v>
                </c:pt>
                <c:pt idx="42">
                  <c:v>105</c:v>
                </c:pt>
                <c:pt idx="43">
                  <c:v>113</c:v>
                </c:pt>
                <c:pt idx="44">
                  <c:v>142</c:v>
                </c:pt>
                <c:pt idx="45">
                  <c:v>83</c:v>
                </c:pt>
                <c:pt idx="46">
                  <c:v>53</c:v>
                </c:pt>
                <c:pt idx="47">
                  <c:v>99</c:v>
                </c:pt>
                <c:pt idx="48">
                  <c:v>102</c:v>
                </c:pt>
                <c:pt idx="49">
                  <c:v>76</c:v>
                </c:pt>
                <c:pt idx="50">
                  <c:v>69</c:v>
                </c:pt>
                <c:pt idx="51">
                  <c:v>129</c:v>
                </c:pt>
                <c:pt idx="52">
                  <c:v>54</c:v>
                </c:pt>
                <c:pt idx="53">
                  <c:v>63</c:v>
                </c:pt>
                <c:pt idx="54">
                  <c:v>27</c:v>
                </c:pt>
                <c:pt idx="55">
                  <c:v>112</c:v>
                </c:pt>
                <c:pt idx="56">
                  <c:v>151</c:v>
                </c:pt>
                <c:pt idx="57">
                  <c:v>184</c:v>
                </c:pt>
                <c:pt idx="58">
                  <c:v>178</c:v>
                </c:pt>
                <c:pt idx="59">
                  <c:v>106</c:v>
                </c:pt>
                <c:pt idx="60">
                  <c:v>144</c:v>
                </c:pt>
                <c:pt idx="61">
                  <c:v>193</c:v>
                </c:pt>
                <c:pt idx="62">
                  <c:v>199</c:v>
                </c:pt>
              </c:numCache>
            </c:numRef>
          </c:val>
          <c:smooth val="0"/>
        </c:ser>
        <c:ser>
          <c:idx val="1"/>
          <c:order val="1"/>
          <c:tx>
            <c:strRef>
              <c:f>Sheet1!$A$3</c:f>
              <c:strCache>
                <c:ptCount val="1"/>
                <c:pt idx="0">
                  <c:v>Current Sit. Index</c:v>
                </c:pt>
              </c:strCache>
            </c:strRef>
          </c:tx>
          <c:marker>
            <c:symbol val="square"/>
            <c:size val="7"/>
          </c:marker>
          <c:cat>
            <c:strRef>
              <c:f>Sheet1!$B$1:$BL$1</c:f>
              <c:strCache>
                <c:ptCount val="63"/>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strCache>
            </c:strRef>
          </c:cat>
          <c:val>
            <c:numRef>
              <c:f>Sheet1!$B$3:$BL$3</c:f>
              <c:numCache>
                <c:formatCode>General</c:formatCode>
                <c:ptCount val="63"/>
                <c:pt idx="0" formatCode="0">
                  <c:v>203.2</c:v>
                </c:pt>
                <c:pt idx="1">
                  <c:v>141.19999999999999</c:v>
                </c:pt>
                <c:pt idx="2">
                  <c:v>132.9</c:v>
                </c:pt>
                <c:pt idx="3">
                  <c:v>114.4</c:v>
                </c:pt>
                <c:pt idx="4">
                  <c:v>73.7</c:v>
                </c:pt>
                <c:pt idx="5">
                  <c:v>55.8</c:v>
                </c:pt>
                <c:pt idx="6">
                  <c:v>46.8</c:v>
                </c:pt>
                <c:pt idx="7">
                  <c:v>53</c:v>
                </c:pt>
                <c:pt idx="8">
                  <c:v>29</c:v>
                </c:pt>
                <c:pt idx="9">
                  <c:v>6</c:v>
                </c:pt>
                <c:pt idx="10" formatCode="0">
                  <c:v>23</c:v>
                </c:pt>
                <c:pt idx="11">
                  <c:v>4</c:v>
                </c:pt>
                <c:pt idx="12">
                  <c:v>28</c:v>
                </c:pt>
                <c:pt idx="13">
                  <c:v>23</c:v>
                </c:pt>
                <c:pt idx="14">
                  <c:v>30</c:v>
                </c:pt>
                <c:pt idx="15">
                  <c:v>72</c:v>
                </c:pt>
                <c:pt idx="16">
                  <c:v>46</c:v>
                </c:pt>
                <c:pt idx="17">
                  <c:v>54</c:v>
                </c:pt>
                <c:pt idx="18">
                  <c:v>81</c:v>
                </c:pt>
                <c:pt idx="19">
                  <c:v>76</c:v>
                </c:pt>
                <c:pt idx="20">
                  <c:v>89</c:v>
                </c:pt>
                <c:pt idx="21">
                  <c:v>96</c:v>
                </c:pt>
                <c:pt idx="22">
                  <c:v>81</c:v>
                </c:pt>
                <c:pt idx="23">
                  <c:v>101</c:v>
                </c:pt>
                <c:pt idx="24">
                  <c:v>100</c:v>
                </c:pt>
                <c:pt idx="25">
                  <c:v>109</c:v>
                </c:pt>
                <c:pt idx="26">
                  <c:v>111</c:v>
                </c:pt>
                <c:pt idx="27">
                  <c:v>118</c:v>
                </c:pt>
                <c:pt idx="28">
                  <c:v>115</c:v>
                </c:pt>
                <c:pt idx="29">
                  <c:v>146</c:v>
                </c:pt>
                <c:pt idx="30">
                  <c:v>102</c:v>
                </c:pt>
                <c:pt idx="31">
                  <c:v>132</c:v>
                </c:pt>
                <c:pt idx="32">
                  <c:v>120</c:v>
                </c:pt>
                <c:pt idx="33">
                  <c:v>94</c:v>
                </c:pt>
                <c:pt idx="34">
                  <c:v>105</c:v>
                </c:pt>
                <c:pt idx="35">
                  <c:v>88</c:v>
                </c:pt>
                <c:pt idx="36">
                  <c:v>49</c:v>
                </c:pt>
                <c:pt idx="37">
                  <c:v>-15</c:v>
                </c:pt>
                <c:pt idx="38">
                  <c:v>-19</c:v>
                </c:pt>
                <c:pt idx="39">
                  <c:v>-57</c:v>
                </c:pt>
                <c:pt idx="40">
                  <c:v>-109</c:v>
                </c:pt>
                <c:pt idx="41">
                  <c:v>-160</c:v>
                </c:pt>
                <c:pt idx="42">
                  <c:v>-121</c:v>
                </c:pt>
                <c:pt idx="43">
                  <c:v>-118</c:v>
                </c:pt>
                <c:pt idx="44">
                  <c:v>-107</c:v>
                </c:pt>
                <c:pt idx="45">
                  <c:v>-101</c:v>
                </c:pt>
                <c:pt idx="46">
                  <c:v>-125</c:v>
                </c:pt>
                <c:pt idx="47">
                  <c:v>-99</c:v>
                </c:pt>
                <c:pt idx="48">
                  <c:v>-86</c:v>
                </c:pt>
                <c:pt idx="49">
                  <c:v>-93</c:v>
                </c:pt>
                <c:pt idx="50">
                  <c:v>-90</c:v>
                </c:pt>
                <c:pt idx="51">
                  <c:v>-74</c:v>
                </c:pt>
                <c:pt idx="52">
                  <c:v>-83</c:v>
                </c:pt>
                <c:pt idx="53">
                  <c:v>-80</c:v>
                </c:pt>
                <c:pt idx="54">
                  <c:v>-86</c:v>
                </c:pt>
                <c:pt idx="55">
                  <c:v>-64</c:v>
                </c:pt>
                <c:pt idx="56">
                  <c:v>-55</c:v>
                </c:pt>
                <c:pt idx="57">
                  <c:v>-24</c:v>
                </c:pt>
                <c:pt idx="58">
                  <c:v>-26</c:v>
                </c:pt>
                <c:pt idx="59">
                  <c:v>-22</c:v>
                </c:pt>
                <c:pt idx="60">
                  <c:v>-16</c:v>
                </c:pt>
                <c:pt idx="61">
                  <c:v>1</c:v>
                </c:pt>
                <c:pt idx="62">
                  <c:v>18</c:v>
                </c:pt>
              </c:numCache>
            </c:numRef>
          </c:val>
          <c:smooth val="0"/>
        </c:ser>
        <c:ser>
          <c:idx val="2"/>
          <c:order val="2"/>
          <c:tx>
            <c:strRef>
              <c:f>Sheet1!$A$4</c:f>
              <c:strCache>
                <c:ptCount val="1"/>
                <c:pt idx="0">
                  <c:v>Future Exp. Index</c:v>
                </c:pt>
              </c:strCache>
            </c:strRef>
          </c:tx>
          <c:marker>
            <c:spPr>
              <a:solidFill>
                <a:srgbClr val="00B050"/>
              </a:solidFill>
            </c:spPr>
          </c:marker>
          <c:cat>
            <c:strRef>
              <c:f>Sheet1!$B$1:$BL$1</c:f>
              <c:strCache>
                <c:ptCount val="63"/>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strCache>
            </c:strRef>
          </c:cat>
          <c:val>
            <c:numRef>
              <c:f>Sheet1!$B$4:$BL$4</c:f>
              <c:numCache>
                <c:formatCode>General</c:formatCode>
                <c:ptCount val="63"/>
                <c:pt idx="0" formatCode="0">
                  <c:v>73.8</c:v>
                </c:pt>
                <c:pt idx="1">
                  <c:v>60.7</c:v>
                </c:pt>
                <c:pt idx="2">
                  <c:v>83.5</c:v>
                </c:pt>
                <c:pt idx="3">
                  <c:v>79.2</c:v>
                </c:pt>
                <c:pt idx="4">
                  <c:v>105.1</c:v>
                </c:pt>
                <c:pt idx="5">
                  <c:v>136</c:v>
                </c:pt>
                <c:pt idx="6">
                  <c:v>138.69999999999999</c:v>
                </c:pt>
                <c:pt idx="7">
                  <c:v>118</c:v>
                </c:pt>
                <c:pt idx="8">
                  <c:v>102</c:v>
                </c:pt>
                <c:pt idx="9">
                  <c:v>89</c:v>
                </c:pt>
                <c:pt idx="10" formatCode="0">
                  <c:v>113</c:v>
                </c:pt>
                <c:pt idx="11">
                  <c:v>69</c:v>
                </c:pt>
                <c:pt idx="12">
                  <c:v>156</c:v>
                </c:pt>
                <c:pt idx="13">
                  <c:v>159</c:v>
                </c:pt>
                <c:pt idx="14">
                  <c:v>128</c:v>
                </c:pt>
                <c:pt idx="15">
                  <c:v>159</c:v>
                </c:pt>
                <c:pt idx="16">
                  <c:v>124</c:v>
                </c:pt>
                <c:pt idx="17">
                  <c:v>114</c:v>
                </c:pt>
                <c:pt idx="18">
                  <c:v>130</c:v>
                </c:pt>
                <c:pt idx="19">
                  <c:v>100</c:v>
                </c:pt>
                <c:pt idx="20">
                  <c:v>111</c:v>
                </c:pt>
                <c:pt idx="21">
                  <c:v>87</c:v>
                </c:pt>
                <c:pt idx="22">
                  <c:v>79</c:v>
                </c:pt>
                <c:pt idx="23">
                  <c:v>84</c:v>
                </c:pt>
                <c:pt idx="24">
                  <c:v>67</c:v>
                </c:pt>
                <c:pt idx="25">
                  <c:v>108</c:v>
                </c:pt>
                <c:pt idx="26">
                  <c:v>106</c:v>
                </c:pt>
                <c:pt idx="27">
                  <c:v>68</c:v>
                </c:pt>
                <c:pt idx="28">
                  <c:v>110</c:v>
                </c:pt>
                <c:pt idx="29">
                  <c:v>105</c:v>
                </c:pt>
                <c:pt idx="30">
                  <c:v>58</c:v>
                </c:pt>
                <c:pt idx="31">
                  <c:v>89</c:v>
                </c:pt>
                <c:pt idx="32">
                  <c:v>83</c:v>
                </c:pt>
                <c:pt idx="33">
                  <c:v>55</c:v>
                </c:pt>
                <c:pt idx="34">
                  <c:v>79</c:v>
                </c:pt>
                <c:pt idx="35">
                  <c:v>75</c:v>
                </c:pt>
                <c:pt idx="36">
                  <c:v>53</c:v>
                </c:pt>
                <c:pt idx="37">
                  <c:v>24</c:v>
                </c:pt>
                <c:pt idx="38">
                  <c:v>11</c:v>
                </c:pt>
                <c:pt idx="39">
                  <c:v>59</c:v>
                </c:pt>
                <c:pt idx="40">
                  <c:v>56</c:v>
                </c:pt>
                <c:pt idx="41">
                  <c:v>21</c:v>
                </c:pt>
                <c:pt idx="42">
                  <c:v>109</c:v>
                </c:pt>
                <c:pt idx="43">
                  <c:v>110</c:v>
                </c:pt>
                <c:pt idx="44">
                  <c:v>143</c:v>
                </c:pt>
                <c:pt idx="45">
                  <c:v>94</c:v>
                </c:pt>
                <c:pt idx="46">
                  <c:v>106</c:v>
                </c:pt>
                <c:pt idx="47">
                  <c:v>117</c:v>
                </c:pt>
                <c:pt idx="48">
                  <c:v>98</c:v>
                </c:pt>
                <c:pt idx="49">
                  <c:v>99</c:v>
                </c:pt>
                <c:pt idx="50">
                  <c:v>86</c:v>
                </c:pt>
                <c:pt idx="51">
                  <c:v>123</c:v>
                </c:pt>
                <c:pt idx="52">
                  <c:v>75</c:v>
                </c:pt>
                <c:pt idx="53">
                  <c:v>99</c:v>
                </c:pt>
                <c:pt idx="54">
                  <c:v>59</c:v>
                </c:pt>
                <c:pt idx="55">
                  <c:v>97</c:v>
                </c:pt>
                <c:pt idx="56">
                  <c:v>125</c:v>
                </c:pt>
                <c:pt idx="57">
                  <c:v>115</c:v>
                </c:pt>
                <c:pt idx="58">
                  <c:v>112</c:v>
                </c:pt>
                <c:pt idx="59">
                  <c:v>55</c:v>
                </c:pt>
                <c:pt idx="60">
                  <c:v>78</c:v>
                </c:pt>
                <c:pt idx="61">
                  <c:v>97</c:v>
                </c:pt>
                <c:pt idx="62">
                  <c:v>86</c:v>
                </c:pt>
              </c:numCache>
            </c:numRef>
          </c:val>
          <c:smooth val="0"/>
        </c:ser>
        <c:ser>
          <c:idx val="3"/>
          <c:order val="3"/>
          <c:tx>
            <c:strRef>
              <c:f>Sheet1!$A$5</c:f>
              <c:strCache>
                <c:ptCount val="1"/>
                <c:pt idx="0">
                  <c:v>Purchasing Index</c:v>
                </c:pt>
              </c:strCache>
            </c:strRef>
          </c:tx>
          <c:marker>
            <c:symbol val="circle"/>
            <c:size val="7"/>
            <c:spPr>
              <a:solidFill>
                <a:schemeClr val="accent4"/>
              </a:solidFill>
            </c:spPr>
          </c:marker>
          <c:cat>
            <c:strRef>
              <c:f>Sheet1!$B$1:$BL$1</c:f>
              <c:strCache>
                <c:ptCount val="63"/>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strCache>
            </c:strRef>
          </c:cat>
          <c:val>
            <c:numRef>
              <c:f>Sheet1!$B$5:$BL$5</c:f>
              <c:numCache>
                <c:formatCode>General</c:formatCode>
                <c:ptCount val="63"/>
                <c:pt idx="0" formatCode="0">
                  <c:v>84.1</c:v>
                </c:pt>
                <c:pt idx="1">
                  <c:v>110.4</c:v>
                </c:pt>
                <c:pt idx="2">
                  <c:v>110.2</c:v>
                </c:pt>
                <c:pt idx="3">
                  <c:v>105.7</c:v>
                </c:pt>
                <c:pt idx="4">
                  <c:v>135.69999999999999</c:v>
                </c:pt>
                <c:pt idx="5">
                  <c:v>176.2</c:v>
                </c:pt>
                <c:pt idx="6">
                  <c:v>142.69999999999999</c:v>
                </c:pt>
                <c:pt idx="7">
                  <c:v>155</c:v>
                </c:pt>
                <c:pt idx="8">
                  <c:v>138</c:v>
                </c:pt>
                <c:pt idx="9">
                  <c:v>131</c:v>
                </c:pt>
                <c:pt idx="10" formatCode="0">
                  <c:v>150</c:v>
                </c:pt>
                <c:pt idx="11">
                  <c:v>118</c:v>
                </c:pt>
                <c:pt idx="12">
                  <c:v>158</c:v>
                </c:pt>
                <c:pt idx="13">
                  <c:v>163</c:v>
                </c:pt>
                <c:pt idx="14">
                  <c:v>148</c:v>
                </c:pt>
                <c:pt idx="15">
                  <c:v>159</c:v>
                </c:pt>
                <c:pt idx="16">
                  <c:v>131</c:v>
                </c:pt>
                <c:pt idx="17">
                  <c:v>149</c:v>
                </c:pt>
                <c:pt idx="18">
                  <c:v>149</c:v>
                </c:pt>
                <c:pt idx="19">
                  <c:v>142</c:v>
                </c:pt>
                <c:pt idx="20">
                  <c:v>136</c:v>
                </c:pt>
                <c:pt idx="21">
                  <c:v>124</c:v>
                </c:pt>
                <c:pt idx="22">
                  <c:v>104</c:v>
                </c:pt>
                <c:pt idx="23">
                  <c:v>109</c:v>
                </c:pt>
                <c:pt idx="24">
                  <c:v>97</c:v>
                </c:pt>
                <c:pt idx="25">
                  <c:v>91</c:v>
                </c:pt>
                <c:pt idx="26">
                  <c:v>94</c:v>
                </c:pt>
                <c:pt idx="27">
                  <c:v>74</c:v>
                </c:pt>
                <c:pt idx="28">
                  <c:v>58</c:v>
                </c:pt>
                <c:pt idx="29">
                  <c:v>84</c:v>
                </c:pt>
                <c:pt idx="30">
                  <c:v>82</c:v>
                </c:pt>
                <c:pt idx="31">
                  <c:v>98</c:v>
                </c:pt>
                <c:pt idx="32">
                  <c:v>75</c:v>
                </c:pt>
                <c:pt idx="33">
                  <c:v>57</c:v>
                </c:pt>
                <c:pt idx="34">
                  <c:v>58</c:v>
                </c:pt>
                <c:pt idx="35">
                  <c:v>62</c:v>
                </c:pt>
                <c:pt idx="36">
                  <c:v>56</c:v>
                </c:pt>
                <c:pt idx="37">
                  <c:v>35</c:v>
                </c:pt>
                <c:pt idx="38">
                  <c:v>38</c:v>
                </c:pt>
                <c:pt idx="39">
                  <c:v>-1</c:v>
                </c:pt>
                <c:pt idx="40">
                  <c:v>57</c:v>
                </c:pt>
                <c:pt idx="41">
                  <c:v>73</c:v>
                </c:pt>
                <c:pt idx="42">
                  <c:v>117</c:v>
                </c:pt>
                <c:pt idx="43">
                  <c:v>121</c:v>
                </c:pt>
                <c:pt idx="44">
                  <c:v>106</c:v>
                </c:pt>
                <c:pt idx="45">
                  <c:v>90</c:v>
                </c:pt>
                <c:pt idx="46">
                  <c:v>72</c:v>
                </c:pt>
                <c:pt idx="47">
                  <c:v>81</c:v>
                </c:pt>
                <c:pt idx="48">
                  <c:v>90</c:v>
                </c:pt>
                <c:pt idx="49">
                  <c:v>70</c:v>
                </c:pt>
                <c:pt idx="50">
                  <c:v>73</c:v>
                </c:pt>
                <c:pt idx="51">
                  <c:v>80</c:v>
                </c:pt>
                <c:pt idx="52">
                  <c:v>62</c:v>
                </c:pt>
                <c:pt idx="53">
                  <c:v>44</c:v>
                </c:pt>
                <c:pt idx="54">
                  <c:v>54</c:v>
                </c:pt>
                <c:pt idx="55">
                  <c:v>79</c:v>
                </c:pt>
                <c:pt idx="56">
                  <c:v>81</c:v>
                </c:pt>
                <c:pt idx="57">
                  <c:v>93</c:v>
                </c:pt>
                <c:pt idx="58">
                  <c:v>92</c:v>
                </c:pt>
                <c:pt idx="59">
                  <c:v>73</c:v>
                </c:pt>
                <c:pt idx="60">
                  <c:v>82</c:v>
                </c:pt>
                <c:pt idx="61">
                  <c:v>95</c:v>
                </c:pt>
                <c:pt idx="62">
                  <c:v>95</c:v>
                </c:pt>
              </c:numCache>
            </c:numRef>
          </c:val>
          <c:smooth val="0"/>
        </c:ser>
        <c:dLbls>
          <c:showLegendKey val="0"/>
          <c:showVal val="0"/>
          <c:showCatName val="0"/>
          <c:showSerName val="0"/>
          <c:showPercent val="0"/>
          <c:showBubbleSize val="0"/>
        </c:dLbls>
        <c:marker val="1"/>
        <c:smooth val="0"/>
        <c:axId val="80352000"/>
        <c:axId val="80353920"/>
      </c:lineChart>
      <c:catAx>
        <c:axId val="80352000"/>
        <c:scaling>
          <c:orientation val="minMax"/>
        </c:scaling>
        <c:delete val="0"/>
        <c:axPos val="b"/>
        <c:majorTickMark val="out"/>
        <c:minorTickMark val="none"/>
        <c:tickLblPos val="nextTo"/>
        <c:txPr>
          <a:bodyPr/>
          <a:lstStyle/>
          <a:p>
            <a:pPr>
              <a:defRPr sz="800"/>
            </a:pPr>
            <a:endParaRPr lang="en-US"/>
          </a:p>
        </c:txPr>
        <c:crossAx val="80353920"/>
        <c:crosses val="autoZero"/>
        <c:auto val="1"/>
        <c:lblAlgn val="ctr"/>
        <c:lblOffset val="100"/>
        <c:noMultiLvlLbl val="0"/>
      </c:catAx>
      <c:valAx>
        <c:axId val="80353920"/>
        <c:scaling>
          <c:orientation val="minMax"/>
          <c:max val="400"/>
          <c:min val="-200"/>
        </c:scaling>
        <c:delete val="0"/>
        <c:axPos val="l"/>
        <c:majorGridlines/>
        <c:numFmt formatCode="0" sourceLinked="1"/>
        <c:majorTickMark val="out"/>
        <c:minorTickMark val="none"/>
        <c:tickLblPos val="nextTo"/>
        <c:txPr>
          <a:bodyPr/>
          <a:lstStyle/>
          <a:p>
            <a:pPr>
              <a:defRPr sz="1200"/>
            </a:pPr>
            <a:endParaRPr lang="en-US"/>
          </a:p>
        </c:txPr>
        <c:crossAx val="80352000"/>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8BD6E-2C57-49FE-8ED4-145FE967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12</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Middle Tennessee Consumer Confidence Index     December</vt:lpstr>
    </vt:vector>
  </TitlesOfParts>
  <Company>MTSU</Company>
  <LinksUpToDate>false</LinksUpToDate>
  <CharactersWithSpaces>16804</CharactersWithSpaces>
  <SharedDoc>false</SharedDoc>
  <HLinks>
    <vt:vector size="18" baseType="variant">
      <vt:variant>
        <vt:i4>5046350</vt:i4>
      </vt:variant>
      <vt:variant>
        <vt:i4>3</vt:i4>
      </vt:variant>
      <vt:variant>
        <vt:i4>0</vt:i4>
      </vt:variant>
      <vt:variant>
        <vt:i4>5</vt:i4>
      </vt:variant>
      <vt:variant>
        <vt:lpwstr>http://www.mtsu.edu/~consumer</vt:lpwstr>
      </vt:variant>
      <vt:variant>
        <vt:lpwstr/>
      </vt:variant>
      <vt:variant>
        <vt:i4>393295</vt:i4>
      </vt:variant>
      <vt:variant>
        <vt:i4>0</vt:i4>
      </vt:variant>
      <vt:variant>
        <vt:i4>0</vt:i4>
      </vt:variant>
      <vt:variant>
        <vt:i4>5</vt:i4>
      </vt:variant>
      <vt:variant>
        <vt:lpwstr>http://www.conference-board.org/</vt:lpwstr>
      </vt:variant>
      <vt:variant>
        <vt:lpwstr/>
      </vt:variant>
      <vt:variant>
        <vt:i4>1769545</vt:i4>
      </vt:variant>
      <vt:variant>
        <vt:i4>0</vt:i4>
      </vt:variant>
      <vt:variant>
        <vt:i4>0</vt:i4>
      </vt:variant>
      <vt:variant>
        <vt:i4>5</vt:i4>
      </vt:variant>
      <vt:variant>
        <vt:lpwstr>http://www.conference-board.com/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Tennessee Consumer Confidence Index     December</dc:title>
  <dc:creator>MTSU</dc:creator>
  <cp:lastModifiedBy>Tim Graeff</cp:lastModifiedBy>
  <cp:revision>41</cp:revision>
  <cp:lastPrinted>2013-09-13T16:49:00Z</cp:lastPrinted>
  <dcterms:created xsi:type="dcterms:W3CDTF">2013-09-12T17:23:00Z</dcterms:created>
  <dcterms:modified xsi:type="dcterms:W3CDTF">2013-09-13T17:04:00Z</dcterms:modified>
</cp:coreProperties>
</file>