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1041CB" w:rsidRDefault="0070502B" w:rsidP="008A757A">
      <w:pPr>
        <w:pStyle w:val="Title"/>
        <w:jc w:val="center"/>
      </w:pPr>
      <w:r w:rsidRPr="001041CB">
        <w:t xml:space="preserve">Middle Tennessee </w:t>
      </w:r>
      <w:r w:rsidR="00A07B8D" w:rsidRPr="001041CB">
        <w:t xml:space="preserve">Consumer </w:t>
      </w:r>
      <w:r w:rsidR="002432C1" w:rsidRPr="001041CB">
        <w:t>O</w:t>
      </w:r>
      <w:r w:rsidR="00A07B8D" w:rsidRPr="001041CB">
        <w:t xml:space="preserve">utlook </w:t>
      </w:r>
      <w:r w:rsidR="00140EF4" w:rsidRPr="001041CB">
        <w:t>I</w:t>
      </w:r>
      <w:r w:rsidR="00A07B8D" w:rsidRPr="001041CB">
        <w:t>ndex</w:t>
      </w:r>
    </w:p>
    <w:p w:rsidR="0070502B" w:rsidRPr="008A757A" w:rsidRDefault="002C5F55" w:rsidP="000D09DE">
      <w:pPr>
        <w:tabs>
          <w:tab w:val="left" w:pos="0"/>
        </w:tabs>
        <w:jc w:val="center"/>
        <w:rPr>
          <w:rFonts w:asciiTheme="minorHAnsi" w:hAnsiTheme="minorHAnsi"/>
          <w:bCs/>
          <w:color w:val="002060"/>
          <w:sz w:val="36"/>
        </w:rPr>
      </w:pPr>
      <w:r w:rsidRPr="008A757A">
        <w:rPr>
          <w:rFonts w:asciiTheme="minorHAnsi" w:hAnsiTheme="minorHAnsi"/>
          <w:bCs/>
          <w:color w:val="002060"/>
          <w:sz w:val="28"/>
        </w:rPr>
        <w:t xml:space="preserve">November 30, </w:t>
      </w:r>
      <w:r w:rsidR="00106BB1" w:rsidRPr="008A757A">
        <w:rPr>
          <w:rFonts w:asciiTheme="minorHAnsi" w:hAnsiTheme="minorHAnsi"/>
          <w:bCs/>
          <w:color w:val="002060"/>
          <w:sz w:val="28"/>
        </w:rPr>
        <w:t>20</w:t>
      </w:r>
      <w:r w:rsidR="00FC5846" w:rsidRPr="008A757A">
        <w:rPr>
          <w:rFonts w:asciiTheme="minorHAnsi" w:hAnsiTheme="minorHAnsi"/>
          <w:bCs/>
          <w:color w:val="002060"/>
          <w:sz w:val="28"/>
        </w:rPr>
        <w:t>1</w:t>
      </w:r>
      <w:r w:rsidR="0022136E" w:rsidRPr="008A757A">
        <w:rPr>
          <w:rFonts w:asciiTheme="minorHAnsi" w:hAnsiTheme="minorHAnsi"/>
          <w:bCs/>
          <w:color w:val="002060"/>
          <w:sz w:val="28"/>
        </w:rPr>
        <w:t>2</w:t>
      </w:r>
    </w:p>
    <w:p w:rsidR="0070502B" w:rsidRPr="008A757A" w:rsidRDefault="0070502B">
      <w:pPr>
        <w:rPr>
          <w:rFonts w:asciiTheme="minorHAnsi" w:hAnsiTheme="minorHAnsi"/>
          <w:color w:val="002060"/>
        </w:rPr>
      </w:pPr>
    </w:p>
    <w:p w:rsidR="0070502B" w:rsidRPr="008A757A" w:rsidRDefault="0070502B">
      <w:pPr>
        <w:jc w:val="center"/>
        <w:rPr>
          <w:rFonts w:asciiTheme="minorHAnsi" w:hAnsiTheme="minorHAnsi"/>
          <w:b/>
          <w:bCs/>
          <w:color w:val="002060"/>
          <w:sz w:val="28"/>
        </w:rPr>
      </w:pPr>
      <w:r w:rsidRPr="008A757A">
        <w:rPr>
          <w:rFonts w:asciiTheme="minorHAnsi" w:hAnsiTheme="minorHAnsi"/>
          <w:b/>
          <w:bCs/>
          <w:color w:val="002060"/>
          <w:sz w:val="28"/>
        </w:rPr>
        <w:t>The Office of Consumer Research</w:t>
      </w:r>
    </w:p>
    <w:p w:rsidR="0070502B" w:rsidRPr="008A757A" w:rsidRDefault="0070502B">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at</w:t>
      </w:r>
      <w:proofErr w:type="gramEnd"/>
      <w:r w:rsidRPr="008A757A">
        <w:rPr>
          <w:rFonts w:asciiTheme="minorHAnsi" w:hAnsiTheme="minorHAnsi"/>
          <w:bCs/>
          <w:color w:val="002060"/>
          <w:sz w:val="22"/>
          <w:szCs w:val="22"/>
        </w:rPr>
        <w:t xml:space="preserve"> Middle Tennessee State University</w:t>
      </w:r>
    </w:p>
    <w:p w:rsidR="0070502B" w:rsidRPr="008A757A" w:rsidRDefault="0070502B" w:rsidP="008A757A">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Director -- Timothy R. Graeff, Ph.D.</w:t>
      </w:r>
      <w:proofErr w:type="gramEnd"/>
    </w:p>
    <w:p w:rsidR="00135989" w:rsidRPr="008A757A" w:rsidRDefault="00A1004F" w:rsidP="008A757A">
      <w:pPr>
        <w:jc w:val="center"/>
        <w:rPr>
          <w:rFonts w:asciiTheme="minorHAnsi" w:hAnsiTheme="minorHAnsi"/>
          <w:bCs/>
          <w:i/>
          <w:color w:val="002060"/>
          <w:sz w:val="22"/>
          <w:szCs w:val="22"/>
        </w:rPr>
      </w:pPr>
      <w:hyperlink r:id="rId10" w:history="1">
        <w:r w:rsidR="00FB298B" w:rsidRPr="008A757A">
          <w:rPr>
            <w:rStyle w:val="Hyperlink"/>
            <w:rFonts w:asciiTheme="minorHAnsi" w:hAnsiTheme="minorHAnsi"/>
            <w:bCs/>
            <w:color w:val="002060"/>
            <w:sz w:val="22"/>
            <w:szCs w:val="22"/>
          </w:rPr>
          <w:t>Tim.Graeff@mtsu.edu</w:t>
        </w:r>
      </w:hyperlink>
      <w:proofErr w:type="gramStart"/>
      <w:r w:rsidR="001A1A56" w:rsidRPr="008A757A">
        <w:rPr>
          <w:rStyle w:val="Hyperlink"/>
          <w:rFonts w:asciiTheme="minorHAnsi" w:hAnsiTheme="minorHAnsi"/>
          <w:bCs/>
          <w:color w:val="002060"/>
          <w:sz w:val="22"/>
          <w:szCs w:val="22"/>
        </w:rPr>
        <w:t xml:space="preserve">,  </w:t>
      </w:r>
      <w:r w:rsidR="00FB298B" w:rsidRPr="008A757A">
        <w:rPr>
          <w:rFonts w:asciiTheme="minorHAnsi" w:hAnsiTheme="minorHAnsi"/>
          <w:bCs/>
          <w:color w:val="002060"/>
          <w:sz w:val="22"/>
          <w:szCs w:val="22"/>
        </w:rPr>
        <w:t>615</w:t>
      </w:r>
      <w:proofErr w:type="gramEnd"/>
      <w:r w:rsidR="00FB298B" w:rsidRPr="008A757A">
        <w:rPr>
          <w:rFonts w:asciiTheme="minorHAnsi" w:hAnsiTheme="minorHAnsi"/>
          <w:bCs/>
          <w:color w:val="002060"/>
          <w:sz w:val="22"/>
          <w:szCs w:val="22"/>
        </w:rPr>
        <w:t>-898-5124</w:t>
      </w:r>
    </w:p>
    <w:p w:rsidR="00303944" w:rsidRPr="008A757A" w:rsidRDefault="00303944">
      <w:pPr>
        <w:jc w:val="center"/>
        <w:rPr>
          <w:rFonts w:asciiTheme="minorHAnsi" w:hAnsiTheme="minorHAnsi"/>
          <w:b/>
          <w:bCs/>
          <w:color w:val="002060"/>
        </w:rPr>
      </w:pPr>
    </w:p>
    <w:p w:rsidR="007F668D" w:rsidRPr="008A757A" w:rsidRDefault="008F3A00" w:rsidP="007A4C2B">
      <w:pPr>
        <w:jc w:val="center"/>
        <w:rPr>
          <w:rFonts w:asciiTheme="minorHAnsi" w:hAnsiTheme="minorHAnsi"/>
          <w:b/>
          <w:bCs/>
          <w:color w:val="002060"/>
          <w:sz w:val="32"/>
          <w:szCs w:val="32"/>
        </w:rPr>
      </w:pPr>
      <w:r w:rsidRPr="008A757A">
        <w:rPr>
          <w:rFonts w:asciiTheme="minorHAnsi" w:hAnsiTheme="minorHAnsi"/>
          <w:b/>
          <w:bCs/>
          <w:color w:val="002060"/>
          <w:sz w:val="32"/>
          <w:szCs w:val="32"/>
        </w:rPr>
        <w:t>Consumer</w:t>
      </w:r>
      <w:r w:rsidR="007A4C2B" w:rsidRPr="008A757A">
        <w:rPr>
          <w:rFonts w:asciiTheme="minorHAnsi" w:hAnsiTheme="minorHAnsi"/>
          <w:b/>
          <w:bCs/>
          <w:color w:val="002060"/>
          <w:sz w:val="32"/>
          <w:szCs w:val="32"/>
        </w:rPr>
        <w:t>s</w:t>
      </w:r>
      <w:r w:rsidR="007D5075" w:rsidRPr="008A757A">
        <w:rPr>
          <w:rFonts w:asciiTheme="minorHAnsi" w:hAnsiTheme="minorHAnsi"/>
          <w:b/>
          <w:bCs/>
          <w:color w:val="002060"/>
          <w:sz w:val="32"/>
          <w:szCs w:val="32"/>
        </w:rPr>
        <w:t xml:space="preserve"> </w:t>
      </w:r>
      <w:r w:rsidR="007F668D" w:rsidRPr="008A757A">
        <w:rPr>
          <w:rFonts w:asciiTheme="minorHAnsi" w:hAnsiTheme="minorHAnsi"/>
          <w:b/>
          <w:bCs/>
          <w:color w:val="002060"/>
          <w:sz w:val="32"/>
          <w:szCs w:val="32"/>
        </w:rPr>
        <w:t>Concerned About the Future of the Economy</w:t>
      </w:r>
    </w:p>
    <w:p w:rsidR="00BD7307" w:rsidRPr="00A16353" w:rsidRDefault="00ED7049" w:rsidP="007A4C2B">
      <w:pPr>
        <w:jc w:val="center"/>
        <w:rPr>
          <w:rFonts w:asciiTheme="minorHAnsi" w:hAnsiTheme="minorHAnsi"/>
          <w:bCs/>
        </w:rPr>
      </w:pPr>
      <w:r w:rsidRPr="00A16353">
        <w:rPr>
          <w:rFonts w:asciiTheme="minorHAnsi" w:hAnsiTheme="minorHAnsi"/>
          <w:bCs/>
        </w:rPr>
        <w:t xml:space="preserve">    </w:t>
      </w:r>
    </w:p>
    <w:p w:rsidR="00B661BD" w:rsidRDefault="00A0104E" w:rsidP="009821BD">
      <w:pPr>
        <w:pStyle w:val="BodyText"/>
        <w:jc w:val="both"/>
        <w:rPr>
          <w:rFonts w:asciiTheme="minorHAnsi" w:hAnsiTheme="minorHAnsi"/>
          <w:bCs/>
        </w:rPr>
      </w:pPr>
      <w:r>
        <w:rPr>
          <w:rFonts w:asciiTheme="minorHAnsi" w:hAnsiTheme="minorHAnsi"/>
          <w:bCs/>
        </w:rPr>
        <w:t xml:space="preserve">     Following a year long period of steady increases in consumer confidence, l</w:t>
      </w:r>
      <w:r w:rsidR="000F3DEC">
        <w:rPr>
          <w:rFonts w:asciiTheme="minorHAnsi" w:hAnsiTheme="minorHAnsi"/>
          <w:bCs/>
        </w:rPr>
        <w:t>ocal consumers</w:t>
      </w:r>
      <w:r w:rsidR="00B701A0">
        <w:rPr>
          <w:rFonts w:asciiTheme="minorHAnsi" w:hAnsiTheme="minorHAnsi"/>
          <w:bCs/>
        </w:rPr>
        <w:t xml:space="preserve"> have </w:t>
      </w:r>
      <w:r>
        <w:rPr>
          <w:rFonts w:asciiTheme="minorHAnsi" w:hAnsiTheme="minorHAnsi"/>
          <w:bCs/>
        </w:rPr>
        <w:t xml:space="preserve">suddenly changed their minds and have become much less optimistic about the future of the American economy.  </w:t>
      </w:r>
      <w:r w:rsidR="00FC0884">
        <w:rPr>
          <w:rFonts w:asciiTheme="minorHAnsi" w:hAnsiTheme="minorHAnsi"/>
          <w:bCs/>
        </w:rPr>
        <w:t xml:space="preserve">The overall </w:t>
      </w:r>
      <w:r>
        <w:rPr>
          <w:rFonts w:asciiTheme="minorHAnsi" w:hAnsiTheme="minorHAnsi"/>
          <w:bCs/>
        </w:rPr>
        <w:t xml:space="preserve">consumer </w:t>
      </w:r>
      <w:r w:rsidR="00FC0884">
        <w:rPr>
          <w:rFonts w:asciiTheme="minorHAnsi" w:hAnsiTheme="minorHAnsi"/>
          <w:bCs/>
        </w:rPr>
        <w:t xml:space="preserve">outlook index dropped </w:t>
      </w:r>
      <w:r>
        <w:rPr>
          <w:rFonts w:asciiTheme="minorHAnsi" w:hAnsiTheme="minorHAnsi"/>
          <w:bCs/>
        </w:rPr>
        <w:t>sharply to 106 from 178 in September</w:t>
      </w:r>
      <w:r w:rsidR="00FC0884">
        <w:rPr>
          <w:rFonts w:asciiTheme="minorHAnsi" w:hAnsiTheme="minorHAnsi"/>
          <w:bCs/>
        </w:rPr>
        <w:t xml:space="preserve">.  </w:t>
      </w:r>
      <w:r>
        <w:rPr>
          <w:rFonts w:asciiTheme="minorHAnsi" w:hAnsiTheme="minorHAnsi"/>
          <w:bCs/>
        </w:rPr>
        <w:t xml:space="preserve">Any momentum that was building to help bolster consumers’ outlook on the economy has seemingly halted.  This change in outlook is fueled by growing concerns about the future economy. The future expectations index </w:t>
      </w:r>
      <w:r w:rsidR="00D7131C">
        <w:rPr>
          <w:rFonts w:asciiTheme="minorHAnsi" w:hAnsiTheme="minorHAnsi"/>
          <w:bCs/>
        </w:rPr>
        <w:t>plunged</w:t>
      </w:r>
      <w:r>
        <w:rPr>
          <w:rFonts w:asciiTheme="minorHAnsi" w:hAnsiTheme="minorHAnsi"/>
          <w:bCs/>
        </w:rPr>
        <w:t xml:space="preserve"> to 55 from 112.   </w:t>
      </w:r>
      <w:r w:rsidR="00B86B97">
        <w:rPr>
          <w:rFonts w:asciiTheme="minorHAnsi" w:hAnsiTheme="minorHAnsi"/>
          <w:bCs/>
        </w:rPr>
        <w:t xml:space="preserve">Similarly, consumers have taken a less positive view toward making large purchases.  The purchasing situation index dropped to 73 from 92.  </w:t>
      </w:r>
      <w:r>
        <w:rPr>
          <w:rFonts w:asciiTheme="minorHAnsi" w:hAnsiTheme="minorHAnsi"/>
          <w:bCs/>
        </w:rPr>
        <w:t xml:space="preserve">Perceptions of the current economy are still negative, </w:t>
      </w:r>
      <w:r w:rsidR="00D7131C">
        <w:rPr>
          <w:rFonts w:asciiTheme="minorHAnsi" w:hAnsiTheme="minorHAnsi"/>
          <w:bCs/>
        </w:rPr>
        <w:t xml:space="preserve">even though </w:t>
      </w:r>
      <w:r>
        <w:rPr>
          <w:rFonts w:asciiTheme="minorHAnsi" w:hAnsiTheme="minorHAnsi"/>
          <w:bCs/>
        </w:rPr>
        <w:t xml:space="preserve">the current situation index </w:t>
      </w:r>
      <w:r w:rsidR="00D7131C">
        <w:rPr>
          <w:rFonts w:asciiTheme="minorHAnsi" w:hAnsiTheme="minorHAnsi"/>
          <w:bCs/>
        </w:rPr>
        <w:t xml:space="preserve">gained </w:t>
      </w:r>
      <w:r>
        <w:rPr>
          <w:rFonts w:asciiTheme="minorHAnsi" w:hAnsiTheme="minorHAnsi"/>
          <w:bCs/>
        </w:rPr>
        <w:t xml:space="preserve">modestly to -22 from -26.  </w:t>
      </w:r>
      <w:r w:rsidR="00B661BD">
        <w:rPr>
          <w:rFonts w:asciiTheme="minorHAnsi" w:hAnsiTheme="minorHAnsi"/>
          <w:bCs/>
        </w:rPr>
        <w:t>In general, c</w:t>
      </w:r>
      <w:r w:rsidR="00FC0884">
        <w:rPr>
          <w:rFonts w:asciiTheme="minorHAnsi" w:hAnsiTheme="minorHAnsi"/>
          <w:bCs/>
        </w:rPr>
        <w:t xml:space="preserve">onsumers </w:t>
      </w:r>
      <w:r w:rsidR="00B661BD">
        <w:rPr>
          <w:rFonts w:asciiTheme="minorHAnsi" w:hAnsiTheme="minorHAnsi"/>
          <w:bCs/>
        </w:rPr>
        <w:t>continue to view</w:t>
      </w:r>
      <w:r w:rsidR="005D00A4">
        <w:rPr>
          <w:rFonts w:asciiTheme="minorHAnsi" w:hAnsiTheme="minorHAnsi"/>
          <w:bCs/>
        </w:rPr>
        <w:t xml:space="preserve"> the current economy negatively</w:t>
      </w:r>
      <w:r w:rsidR="00B661BD">
        <w:rPr>
          <w:rFonts w:asciiTheme="minorHAnsi" w:hAnsiTheme="minorHAnsi"/>
          <w:bCs/>
        </w:rPr>
        <w:t xml:space="preserve"> </w:t>
      </w:r>
      <w:r w:rsidR="00B86B97">
        <w:rPr>
          <w:rFonts w:asciiTheme="minorHAnsi" w:hAnsiTheme="minorHAnsi"/>
          <w:bCs/>
        </w:rPr>
        <w:t xml:space="preserve">and have become increasing wary of the prospects for a quick turnaround in the economy.  </w:t>
      </w:r>
    </w:p>
    <w:p w:rsidR="001D059A" w:rsidRDefault="001D059A" w:rsidP="009821BD">
      <w:pPr>
        <w:pStyle w:val="BodyText"/>
        <w:jc w:val="both"/>
        <w:rPr>
          <w:rFonts w:asciiTheme="minorHAnsi" w:hAnsiTheme="minorHAnsi"/>
          <w:bCs/>
        </w:rPr>
      </w:pPr>
    </w:p>
    <w:p w:rsidR="00B661BD" w:rsidRDefault="00B661BD" w:rsidP="00B661BD">
      <w:pPr>
        <w:jc w:val="center"/>
        <w:rPr>
          <w:rFonts w:asciiTheme="minorHAnsi" w:hAnsiTheme="minorHAnsi"/>
          <w:b/>
          <w:color w:val="002060"/>
          <w:sz w:val="28"/>
          <w:szCs w:val="28"/>
        </w:rPr>
      </w:pPr>
      <w:r w:rsidRPr="00ED7F2F">
        <w:rPr>
          <w:rFonts w:asciiTheme="minorHAnsi" w:hAnsiTheme="minorHAnsi"/>
          <w:b/>
          <w:color w:val="002060"/>
          <w:sz w:val="28"/>
          <w:szCs w:val="28"/>
        </w:rPr>
        <w:t>The Middle Tennessee Consumer Outlook Index and Components</w:t>
      </w:r>
    </w:p>
    <w:p w:rsidR="00546A3A" w:rsidRPr="00ED7F2F" w:rsidRDefault="00546A3A" w:rsidP="00B661BD">
      <w:pPr>
        <w:jc w:val="center"/>
        <w:rPr>
          <w:rFonts w:asciiTheme="minorHAnsi" w:hAnsiTheme="minorHAnsi"/>
          <w:b/>
          <w:color w:val="002060"/>
          <w:sz w:val="28"/>
          <w:szCs w:val="28"/>
        </w:rPr>
      </w:pPr>
    </w:p>
    <w:tbl>
      <w:tblPr>
        <w:tblW w:w="87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630"/>
        <w:gridCol w:w="630"/>
        <w:gridCol w:w="630"/>
        <w:gridCol w:w="630"/>
      </w:tblGrid>
      <w:tr w:rsidR="002C5F55" w:rsidRPr="00A16353" w:rsidTr="002C5F55">
        <w:trPr>
          <w:trHeight w:val="255"/>
        </w:trPr>
        <w:tc>
          <w:tcPr>
            <w:tcW w:w="1815" w:type="dxa"/>
            <w:shd w:val="clear" w:color="auto" w:fill="B8CCE4" w:themeFill="accent1" w:themeFillTint="66"/>
            <w:noWrap/>
            <w:tcMar>
              <w:top w:w="15" w:type="dxa"/>
              <w:left w:w="15" w:type="dxa"/>
              <w:bottom w:w="0" w:type="dxa"/>
              <w:right w:w="15" w:type="dxa"/>
            </w:tcMar>
            <w:vAlign w:val="bottom"/>
          </w:tcPr>
          <w:p w:rsidR="002C5F55" w:rsidRPr="00A16353" w:rsidRDefault="002C5F55" w:rsidP="002F176B">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Sept ‘10</w:t>
            </w:r>
          </w:p>
        </w:tc>
        <w:tc>
          <w:tcPr>
            <w:tcW w:w="630" w:type="dxa"/>
            <w:shd w:val="clear" w:color="auto" w:fill="B8CCE4" w:themeFill="accent1" w:themeFillTint="66"/>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Dec ‘10</w:t>
            </w:r>
          </w:p>
        </w:tc>
        <w:tc>
          <w:tcPr>
            <w:tcW w:w="630" w:type="dxa"/>
            <w:shd w:val="clear" w:color="auto" w:fill="B8CCE4" w:themeFill="accent1" w:themeFillTint="66"/>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Feb ‘11</w:t>
            </w:r>
          </w:p>
        </w:tc>
        <w:tc>
          <w:tcPr>
            <w:tcW w:w="630" w:type="dxa"/>
            <w:shd w:val="clear" w:color="auto" w:fill="B8CCE4" w:themeFill="accent1" w:themeFillTint="66"/>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Apr ‘11</w:t>
            </w:r>
          </w:p>
        </w:tc>
        <w:tc>
          <w:tcPr>
            <w:tcW w:w="630" w:type="dxa"/>
            <w:shd w:val="clear" w:color="auto" w:fill="B8CCE4" w:themeFill="accent1" w:themeFillTint="66"/>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May ‘11</w:t>
            </w:r>
          </w:p>
        </w:tc>
        <w:tc>
          <w:tcPr>
            <w:tcW w:w="630" w:type="dxa"/>
            <w:shd w:val="clear" w:color="auto" w:fill="B8CCE4" w:themeFill="accent1" w:themeFillTint="66"/>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Sept ‘11</w:t>
            </w:r>
          </w:p>
        </w:tc>
        <w:tc>
          <w:tcPr>
            <w:tcW w:w="630" w:type="dxa"/>
            <w:shd w:val="clear" w:color="auto" w:fill="B8CCE4" w:themeFill="accent1" w:themeFillTint="66"/>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Dec</w:t>
            </w:r>
          </w:p>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‘11</w:t>
            </w:r>
          </w:p>
        </w:tc>
        <w:tc>
          <w:tcPr>
            <w:tcW w:w="630" w:type="dxa"/>
            <w:shd w:val="clear" w:color="auto" w:fill="B8CCE4" w:themeFill="accent1" w:themeFillTint="66"/>
          </w:tcPr>
          <w:p w:rsidR="002C5F55" w:rsidRPr="00140EF4" w:rsidRDefault="002C5F55" w:rsidP="002F176B">
            <w:pPr>
              <w:jc w:val="center"/>
              <w:rPr>
                <w:rFonts w:asciiTheme="minorHAnsi" w:hAnsiTheme="minorHAnsi"/>
                <w:bCs/>
                <w:sz w:val="24"/>
                <w:szCs w:val="24"/>
              </w:rPr>
            </w:pPr>
            <w:r w:rsidRPr="00140EF4">
              <w:rPr>
                <w:rFonts w:asciiTheme="minorHAnsi" w:hAnsiTheme="minorHAnsi"/>
                <w:bCs/>
                <w:sz w:val="24"/>
                <w:szCs w:val="24"/>
              </w:rPr>
              <w:t>Jan</w:t>
            </w:r>
          </w:p>
          <w:p w:rsidR="002C5F55" w:rsidRPr="00140EF4" w:rsidRDefault="002C5F55" w:rsidP="002F176B">
            <w:pPr>
              <w:jc w:val="center"/>
              <w:rPr>
                <w:rFonts w:asciiTheme="minorHAnsi" w:hAnsiTheme="minorHAnsi"/>
                <w:bCs/>
                <w:sz w:val="24"/>
                <w:szCs w:val="24"/>
              </w:rPr>
            </w:pPr>
            <w:r w:rsidRPr="00140EF4">
              <w:rPr>
                <w:rFonts w:asciiTheme="minorHAnsi" w:hAnsiTheme="minorHAnsi"/>
                <w:bCs/>
                <w:sz w:val="24"/>
                <w:szCs w:val="24"/>
              </w:rPr>
              <w:t>‘12</w:t>
            </w:r>
          </w:p>
        </w:tc>
        <w:tc>
          <w:tcPr>
            <w:tcW w:w="630" w:type="dxa"/>
            <w:shd w:val="clear" w:color="auto" w:fill="B8CCE4" w:themeFill="accent1" w:themeFillTint="66"/>
          </w:tcPr>
          <w:p w:rsidR="002C5F55" w:rsidRPr="008C68FB" w:rsidRDefault="002C5F55" w:rsidP="002F176B">
            <w:pPr>
              <w:jc w:val="center"/>
              <w:rPr>
                <w:rFonts w:asciiTheme="minorHAnsi" w:hAnsiTheme="minorHAnsi"/>
                <w:bCs/>
                <w:sz w:val="24"/>
                <w:szCs w:val="24"/>
              </w:rPr>
            </w:pPr>
            <w:r w:rsidRPr="008C68FB">
              <w:rPr>
                <w:rFonts w:asciiTheme="minorHAnsi" w:hAnsiTheme="minorHAnsi"/>
                <w:bCs/>
                <w:sz w:val="24"/>
                <w:szCs w:val="24"/>
              </w:rPr>
              <w:t>Apr ‘12</w:t>
            </w:r>
          </w:p>
        </w:tc>
        <w:tc>
          <w:tcPr>
            <w:tcW w:w="630" w:type="dxa"/>
            <w:shd w:val="clear" w:color="auto" w:fill="B8CCE4" w:themeFill="accent1" w:themeFillTint="66"/>
          </w:tcPr>
          <w:p w:rsidR="002C5F55" w:rsidRPr="002C5F55" w:rsidRDefault="002C5F55" w:rsidP="002F176B">
            <w:pPr>
              <w:jc w:val="center"/>
              <w:rPr>
                <w:rFonts w:asciiTheme="minorHAnsi" w:hAnsiTheme="minorHAnsi"/>
                <w:bCs/>
                <w:sz w:val="24"/>
                <w:szCs w:val="24"/>
              </w:rPr>
            </w:pPr>
            <w:r w:rsidRPr="002C5F55">
              <w:rPr>
                <w:rFonts w:asciiTheme="minorHAnsi" w:hAnsiTheme="minorHAnsi"/>
                <w:bCs/>
                <w:sz w:val="24"/>
                <w:szCs w:val="24"/>
              </w:rPr>
              <w:t>Sept ‘12</w:t>
            </w:r>
          </w:p>
        </w:tc>
        <w:tc>
          <w:tcPr>
            <w:tcW w:w="630" w:type="dxa"/>
            <w:shd w:val="clear" w:color="auto" w:fill="B8CCE4" w:themeFill="accent1" w:themeFillTint="66"/>
          </w:tcPr>
          <w:p w:rsidR="002C5F55" w:rsidRPr="002C5F55" w:rsidRDefault="002C5F55" w:rsidP="002F176B">
            <w:pPr>
              <w:jc w:val="center"/>
              <w:rPr>
                <w:rFonts w:asciiTheme="minorHAnsi" w:hAnsiTheme="minorHAnsi"/>
                <w:b/>
                <w:bCs/>
                <w:color w:val="FF0000"/>
                <w:sz w:val="24"/>
                <w:szCs w:val="24"/>
              </w:rPr>
            </w:pPr>
            <w:r w:rsidRPr="002C5F55">
              <w:rPr>
                <w:rFonts w:asciiTheme="minorHAnsi" w:hAnsiTheme="minorHAnsi"/>
                <w:b/>
                <w:bCs/>
                <w:color w:val="FF0000"/>
                <w:sz w:val="24"/>
                <w:szCs w:val="24"/>
              </w:rPr>
              <w:t>Nov ‘12</w:t>
            </w:r>
          </w:p>
        </w:tc>
      </w:tr>
      <w:tr w:rsidR="002C5F55" w:rsidRPr="00A16353" w:rsidTr="002C5F55">
        <w:trPr>
          <w:trHeight w:val="255"/>
        </w:trPr>
        <w:tc>
          <w:tcPr>
            <w:tcW w:w="1815" w:type="dxa"/>
            <w:noWrap/>
            <w:tcMar>
              <w:top w:w="15" w:type="dxa"/>
              <w:left w:w="15" w:type="dxa"/>
              <w:bottom w:w="0" w:type="dxa"/>
              <w:right w:w="15" w:type="dxa"/>
            </w:tcMar>
            <w:vAlign w:val="center"/>
          </w:tcPr>
          <w:p w:rsidR="002C5F55" w:rsidRPr="00A16353" w:rsidRDefault="002C5F55" w:rsidP="002F176B">
            <w:pPr>
              <w:rPr>
                <w:rFonts w:asciiTheme="minorHAnsi" w:eastAsia="Arial Unicode MS" w:hAnsiTheme="minorHAnsi"/>
                <w:sz w:val="16"/>
                <w:szCs w:val="16"/>
              </w:rPr>
            </w:pPr>
            <w:r w:rsidRPr="00A16353">
              <w:rPr>
                <w:rFonts w:asciiTheme="minorHAnsi" w:hAnsiTheme="minorHAnsi"/>
                <w:sz w:val="16"/>
                <w:szCs w:val="16"/>
              </w:rPr>
              <w:t xml:space="preserve">Overall </w:t>
            </w:r>
            <w:r>
              <w:rPr>
                <w:rFonts w:asciiTheme="minorHAnsi" w:hAnsiTheme="minorHAnsi"/>
                <w:sz w:val="16"/>
                <w:szCs w:val="16"/>
              </w:rPr>
              <w:t>Outlook</w:t>
            </w:r>
            <w:r w:rsidRPr="00A16353">
              <w:rPr>
                <w:rFonts w:asciiTheme="minorHAnsi" w:hAnsiTheme="minorHAnsi"/>
                <w:sz w:val="16"/>
                <w:szCs w:val="16"/>
              </w:rPr>
              <w:t xml:space="preserve"> Index</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76</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69</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129</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63</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27</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112</w:t>
            </w:r>
          </w:p>
        </w:tc>
        <w:tc>
          <w:tcPr>
            <w:tcW w:w="630" w:type="dxa"/>
          </w:tcPr>
          <w:p w:rsidR="002C5F55" w:rsidRPr="00140EF4" w:rsidRDefault="002C5F55" w:rsidP="002F176B">
            <w:pPr>
              <w:jc w:val="center"/>
              <w:rPr>
                <w:rFonts w:asciiTheme="minorHAnsi" w:hAnsiTheme="minorHAnsi"/>
                <w:bCs/>
                <w:sz w:val="24"/>
                <w:szCs w:val="24"/>
              </w:rPr>
            </w:pPr>
            <w:r w:rsidRPr="00140EF4">
              <w:rPr>
                <w:rFonts w:asciiTheme="minorHAnsi" w:hAnsiTheme="minorHAnsi"/>
                <w:bCs/>
                <w:sz w:val="24"/>
                <w:szCs w:val="24"/>
              </w:rPr>
              <w:t>151</w:t>
            </w:r>
          </w:p>
        </w:tc>
        <w:tc>
          <w:tcPr>
            <w:tcW w:w="630" w:type="dxa"/>
          </w:tcPr>
          <w:p w:rsidR="002C5F55" w:rsidRPr="008C68FB" w:rsidRDefault="002C5F55" w:rsidP="002F176B">
            <w:pPr>
              <w:jc w:val="center"/>
              <w:rPr>
                <w:rFonts w:asciiTheme="minorHAnsi" w:hAnsiTheme="minorHAnsi"/>
                <w:bCs/>
                <w:sz w:val="24"/>
                <w:szCs w:val="24"/>
              </w:rPr>
            </w:pPr>
            <w:r w:rsidRPr="008C68FB">
              <w:rPr>
                <w:rFonts w:asciiTheme="minorHAnsi" w:hAnsiTheme="minorHAnsi"/>
                <w:bCs/>
                <w:sz w:val="24"/>
                <w:szCs w:val="24"/>
              </w:rPr>
              <w:t>184</w:t>
            </w:r>
          </w:p>
        </w:tc>
        <w:tc>
          <w:tcPr>
            <w:tcW w:w="630" w:type="dxa"/>
          </w:tcPr>
          <w:p w:rsidR="002C5F55" w:rsidRPr="002C5F55" w:rsidRDefault="002C5F55" w:rsidP="002F176B">
            <w:pPr>
              <w:jc w:val="center"/>
              <w:rPr>
                <w:rFonts w:asciiTheme="minorHAnsi" w:hAnsiTheme="minorHAnsi"/>
                <w:bCs/>
                <w:sz w:val="24"/>
                <w:szCs w:val="24"/>
              </w:rPr>
            </w:pPr>
            <w:r w:rsidRPr="002C5F55">
              <w:rPr>
                <w:rFonts w:asciiTheme="minorHAnsi" w:hAnsiTheme="minorHAnsi"/>
                <w:bCs/>
                <w:sz w:val="24"/>
                <w:szCs w:val="24"/>
              </w:rPr>
              <w:t>178</w:t>
            </w:r>
            <w:r w:rsidRPr="002C5F55">
              <w:rPr>
                <w:rStyle w:val="FootnoteReference"/>
                <w:rFonts w:asciiTheme="minorHAnsi" w:hAnsiTheme="minorHAnsi"/>
                <w:sz w:val="24"/>
                <w:szCs w:val="24"/>
              </w:rPr>
              <w:footnoteReference w:id="1"/>
            </w:r>
          </w:p>
        </w:tc>
        <w:tc>
          <w:tcPr>
            <w:tcW w:w="630" w:type="dxa"/>
          </w:tcPr>
          <w:p w:rsidR="002C5F55" w:rsidRPr="002C5F55" w:rsidRDefault="002F176B" w:rsidP="002F176B">
            <w:pPr>
              <w:jc w:val="center"/>
              <w:rPr>
                <w:rFonts w:asciiTheme="minorHAnsi" w:hAnsiTheme="minorHAnsi"/>
                <w:b/>
                <w:bCs/>
                <w:color w:val="FF0000"/>
                <w:sz w:val="24"/>
                <w:szCs w:val="24"/>
              </w:rPr>
            </w:pPr>
            <w:r>
              <w:rPr>
                <w:rFonts w:asciiTheme="minorHAnsi" w:hAnsiTheme="minorHAnsi"/>
                <w:b/>
                <w:bCs/>
                <w:color w:val="FF0000"/>
                <w:sz w:val="24"/>
                <w:szCs w:val="24"/>
              </w:rPr>
              <w:t>106</w:t>
            </w:r>
          </w:p>
        </w:tc>
      </w:tr>
      <w:tr w:rsidR="002C5F55" w:rsidRPr="00A16353" w:rsidTr="002C5F55">
        <w:trPr>
          <w:trHeight w:val="255"/>
        </w:trPr>
        <w:tc>
          <w:tcPr>
            <w:tcW w:w="1815" w:type="dxa"/>
            <w:noWrap/>
            <w:tcMar>
              <w:top w:w="15" w:type="dxa"/>
              <w:left w:w="15" w:type="dxa"/>
              <w:bottom w:w="0" w:type="dxa"/>
              <w:right w:w="15" w:type="dxa"/>
            </w:tcMar>
            <w:vAlign w:val="center"/>
          </w:tcPr>
          <w:p w:rsidR="002C5F55" w:rsidRPr="00A16353" w:rsidRDefault="002C5F55" w:rsidP="002F176B">
            <w:pPr>
              <w:rPr>
                <w:rFonts w:asciiTheme="minorHAnsi" w:eastAsia="Arial Unicode MS" w:hAnsiTheme="minorHAnsi"/>
                <w:sz w:val="16"/>
                <w:szCs w:val="16"/>
              </w:rPr>
            </w:pPr>
            <w:r w:rsidRPr="00A16353">
              <w:rPr>
                <w:rFonts w:asciiTheme="minorHAnsi" w:hAnsiTheme="minorHAnsi"/>
                <w:sz w:val="16"/>
                <w:szCs w:val="16"/>
              </w:rPr>
              <w:t>Current Situation Index</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-93</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-90</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-74</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-83</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-80</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-86</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-64</w:t>
            </w:r>
          </w:p>
        </w:tc>
        <w:tc>
          <w:tcPr>
            <w:tcW w:w="630" w:type="dxa"/>
          </w:tcPr>
          <w:p w:rsidR="002C5F55" w:rsidRPr="00140EF4" w:rsidRDefault="002C5F55" w:rsidP="002F176B">
            <w:pPr>
              <w:jc w:val="center"/>
              <w:rPr>
                <w:rFonts w:asciiTheme="minorHAnsi" w:hAnsiTheme="minorHAnsi"/>
                <w:bCs/>
                <w:sz w:val="24"/>
                <w:szCs w:val="24"/>
              </w:rPr>
            </w:pPr>
            <w:r w:rsidRPr="00140EF4">
              <w:rPr>
                <w:rFonts w:asciiTheme="minorHAnsi" w:hAnsiTheme="minorHAnsi"/>
                <w:bCs/>
                <w:sz w:val="24"/>
                <w:szCs w:val="24"/>
              </w:rPr>
              <w:t>-55</w:t>
            </w:r>
          </w:p>
        </w:tc>
        <w:tc>
          <w:tcPr>
            <w:tcW w:w="630" w:type="dxa"/>
          </w:tcPr>
          <w:p w:rsidR="002C5F55" w:rsidRPr="008C68FB" w:rsidRDefault="002C5F55" w:rsidP="002F176B">
            <w:pPr>
              <w:jc w:val="center"/>
              <w:rPr>
                <w:rFonts w:asciiTheme="minorHAnsi" w:hAnsiTheme="minorHAnsi"/>
                <w:bCs/>
                <w:sz w:val="24"/>
                <w:szCs w:val="24"/>
              </w:rPr>
            </w:pPr>
            <w:r w:rsidRPr="008C68FB">
              <w:rPr>
                <w:rFonts w:asciiTheme="minorHAnsi" w:hAnsiTheme="minorHAnsi"/>
                <w:bCs/>
                <w:sz w:val="24"/>
                <w:szCs w:val="24"/>
              </w:rPr>
              <w:t>-24</w:t>
            </w:r>
          </w:p>
        </w:tc>
        <w:tc>
          <w:tcPr>
            <w:tcW w:w="630" w:type="dxa"/>
          </w:tcPr>
          <w:p w:rsidR="002C5F55" w:rsidRPr="002C5F55" w:rsidRDefault="002C5F55" w:rsidP="002F176B">
            <w:pPr>
              <w:jc w:val="center"/>
              <w:rPr>
                <w:rFonts w:asciiTheme="minorHAnsi" w:hAnsiTheme="minorHAnsi"/>
                <w:bCs/>
                <w:sz w:val="24"/>
                <w:szCs w:val="24"/>
              </w:rPr>
            </w:pPr>
            <w:r w:rsidRPr="002C5F55">
              <w:rPr>
                <w:rFonts w:asciiTheme="minorHAnsi" w:hAnsiTheme="minorHAnsi"/>
                <w:bCs/>
                <w:sz w:val="24"/>
                <w:szCs w:val="24"/>
              </w:rPr>
              <w:t>-26</w:t>
            </w:r>
          </w:p>
        </w:tc>
        <w:tc>
          <w:tcPr>
            <w:tcW w:w="630" w:type="dxa"/>
          </w:tcPr>
          <w:p w:rsidR="002C5F55" w:rsidRPr="002C5F55" w:rsidRDefault="002F176B" w:rsidP="002F176B">
            <w:pPr>
              <w:jc w:val="center"/>
              <w:rPr>
                <w:rFonts w:asciiTheme="minorHAnsi" w:hAnsiTheme="minorHAnsi"/>
                <w:b/>
                <w:bCs/>
                <w:color w:val="FF0000"/>
                <w:sz w:val="24"/>
                <w:szCs w:val="24"/>
              </w:rPr>
            </w:pPr>
            <w:r>
              <w:rPr>
                <w:rFonts w:asciiTheme="minorHAnsi" w:hAnsiTheme="minorHAnsi"/>
                <w:b/>
                <w:bCs/>
                <w:color w:val="FF0000"/>
                <w:sz w:val="24"/>
                <w:szCs w:val="24"/>
              </w:rPr>
              <w:t>-22</w:t>
            </w:r>
          </w:p>
        </w:tc>
      </w:tr>
      <w:tr w:rsidR="002C5F55" w:rsidRPr="00A16353" w:rsidTr="002C5F55">
        <w:trPr>
          <w:trHeight w:val="255"/>
        </w:trPr>
        <w:tc>
          <w:tcPr>
            <w:tcW w:w="1815" w:type="dxa"/>
            <w:noWrap/>
            <w:tcMar>
              <w:top w:w="15" w:type="dxa"/>
              <w:left w:w="15" w:type="dxa"/>
              <w:bottom w:w="0" w:type="dxa"/>
              <w:right w:w="15" w:type="dxa"/>
            </w:tcMar>
            <w:vAlign w:val="center"/>
          </w:tcPr>
          <w:p w:rsidR="002C5F55" w:rsidRPr="00A16353" w:rsidRDefault="002C5F55" w:rsidP="002F176B">
            <w:pPr>
              <w:rPr>
                <w:rFonts w:asciiTheme="minorHAnsi" w:eastAsia="Arial Unicode MS" w:hAnsiTheme="minorHAnsi"/>
                <w:sz w:val="16"/>
                <w:szCs w:val="16"/>
              </w:rPr>
            </w:pPr>
            <w:r w:rsidRPr="00A16353">
              <w:rPr>
                <w:rFonts w:asciiTheme="minorHAnsi" w:hAnsiTheme="minorHAnsi"/>
                <w:sz w:val="16"/>
                <w:szCs w:val="16"/>
              </w:rPr>
              <w:t>Future Expectations Index</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99</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86</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123</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75</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99</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59</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97</w:t>
            </w:r>
          </w:p>
        </w:tc>
        <w:tc>
          <w:tcPr>
            <w:tcW w:w="630" w:type="dxa"/>
          </w:tcPr>
          <w:p w:rsidR="002C5F55" w:rsidRPr="00140EF4" w:rsidRDefault="002C5F55" w:rsidP="002F176B">
            <w:pPr>
              <w:jc w:val="center"/>
              <w:rPr>
                <w:rFonts w:asciiTheme="minorHAnsi" w:hAnsiTheme="minorHAnsi"/>
                <w:bCs/>
                <w:sz w:val="24"/>
                <w:szCs w:val="24"/>
              </w:rPr>
            </w:pPr>
            <w:r w:rsidRPr="00140EF4">
              <w:rPr>
                <w:rFonts w:asciiTheme="minorHAnsi" w:hAnsiTheme="minorHAnsi"/>
                <w:bCs/>
                <w:sz w:val="24"/>
                <w:szCs w:val="24"/>
              </w:rPr>
              <w:t>125</w:t>
            </w:r>
          </w:p>
        </w:tc>
        <w:tc>
          <w:tcPr>
            <w:tcW w:w="630" w:type="dxa"/>
          </w:tcPr>
          <w:p w:rsidR="002C5F55" w:rsidRPr="008C68FB" w:rsidRDefault="002C5F55" w:rsidP="002F176B">
            <w:pPr>
              <w:jc w:val="center"/>
              <w:rPr>
                <w:rFonts w:asciiTheme="minorHAnsi" w:hAnsiTheme="minorHAnsi"/>
                <w:bCs/>
                <w:sz w:val="24"/>
                <w:szCs w:val="24"/>
              </w:rPr>
            </w:pPr>
            <w:r w:rsidRPr="008C68FB">
              <w:rPr>
                <w:rFonts w:asciiTheme="minorHAnsi" w:hAnsiTheme="minorHAnsi"/>
                <w:bCs/>
                <w:sz w:val="24"/>
                <w:szCs w:val="24"/>
              </w:rPr>
              <w:t>115</w:t>
            </w:r>
          </w:p>
        </w:tc>
        <w:tc>
          <w:tcPr>
            <w:tcW w:w="630" w:type="dxa"/>
          </w:tcPr>
          <w:p w:rsidR="002C5F55" w:rsidRPr="002C5F55" w:rsidRDefault="002C5F55" w:rsidP="002F176B">
            <w:pPr>
              <w:jc w:val="center"/>
              <w:rPr>
                <w:rFonts w:asciiTheme="minorHAnsi" w:hAnsiTheme="minorHAnsi"/>
                <w:bCs/>
                <w:sz w:val="24"/>
                <w:szCs w:val="24"/>
              </w:rPr>
            </w:pPr>
            <w:r w:rsidRPr="002C5F55">
              <w:rPr>
                <w:rFonts w:asciiTheme="minorHAnsi" w:hAnsiTheme="minorHAnsi"/>
                <w:bCs/>
                <w:sz w:val="24"/>
                <w:szCs w:val="24"/>
              </w:rPr>
              <w:t>112</w:t>
            </w:r>
          </w:p>
        </w:tc>
        <w:tc>
          <w:tcPr>
            <w:tcW w:w="630" w:type="dxa"/>
          </w:tcPr>
          <w:p w:rsidR="002C5F55" w:rsidRPr="002C5F55" w:rsidRDefault="002F176B" w:rsidP="002F176B">
            <w:pPr>
              <w:jc w:val="center"/>
              <w:rPr>
                <w:rFonts w:asciiTheme="minorHAnsi" w:hAnsiTheme="minorHAnsi"/>
                <w:b/>
                <w:bCs/>
                <w:color w:val="FF0000"/>
                <w:sz w:val="24"/>
                <w:szCs w:val="24"/>
              </w:rPr>
            </w:pPr>
            <w:r>
              <w:rPr>
                <w:rFonts w:asciiTheme="minorHAnsi" w:hAnsiTheme="minorHAnsi"/>
                <w:b/>
                <w:bCs/>
                <w:color w:val="FF0000"/>
                <w:sz w:val="24"/>
                <w:szCs w:val="24"/>
              </w:rPr>
              <w:t>55</w:t>
            </w:r>
          </w:p>
        </w:tc>
      </w:tr>
      <w:tr w:rsidR="002C5F55" w:rsidRPr="00A16353" w:rsidTr="002C5F55">
        <w:trPr>
          <w:trHeight w:val="255"/>
        </w:trPr>
        <w:tc>
          <w:tcPr>
            <w:tcW w:w="1815" w:type="dxa"/>
            <w:noWrap/>
            <w:tcMar>
              <w:top w:w="15" w:type="dxa"/>
              <w:left w:w="15" w:type="dxa"/>
              <w:bottom w:w="0" w:type="dxa"/>
              <w:right w:w="15" w:type="dxa"/>
            </w:tcMar>
            <w:vAlign w:val="center"/>
          </w:tcPr>
          <w:p w:rsidR="002C5F55" w:rsidRPr="00A16353" w:rsidRDefault="002C5F55" w:rsidP="002F176B">
            <w:pPr>
              <w:rPr>
                <w:rFonts w:asciiTheme="minorHAnsi" w:eastAsia="Arial Unicode MS" w:hAnsiTheme="minorHAnsi"/>
                <w:sz w:val="16"/>
                <w:szCs w:val="16"/>
              </w:rPr>
            </w:pPr>
            <w:r w:rsidRPr="00A16353">
              <w:rPr>
                <w:rFonts w:asciiTheme="minorHAnsi" w:hAnsiTheme="minorHAnsi"/>
                <w:sz w:val="16"/>
                <w:szCs w:val="16"/>
              </w:rPr>
              <w:t>Purchasing Index</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70</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73</w:t>
            </w:r>
          </w:p>
        </w:tc>
        <w:tc>
          <w:tcPr>
            <w:tcW w:w="630" w:type="dxa"/>
          </w:tcPr>
          <w:p w:rsidR="002C5F55" w:rsidRPr="00F80F97" w:rsidRDefault="002C5F55" w:rsidP="002F176B">
            <w:pPr>
              <w:jc w:val="center"/>
              <w:rPr>
                <w:rFonts w:asciiTheme="minorHAnsi" w:hAnsiTheme="minorHAnsi"/>
                <w:bCs/>
                <w:sz w:val="24"/>
                <w:szCs w:val="24"/>
              </w:rPr>
            </w:pPr>
            <w:r w:rsidRPr="00F80F97">
              <w:rPr>
                <w:rFonts w:asciiTheme="minorHAnsi" w:hAnsiTheme="minorHAnsi"/>
                <w:bCs/>
                <w:sz w:val="24"/>
                <w:szCs w:val="24"/>
              </w:rPr>
              <w:t>80</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62</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44</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2C5F55" w:rsidRPr="0022312B" w:rsidRDefault="002C5F55" w:rsidP="002F176B">
            <w:pPr>
              <w:jc w:val="center"/>
              <w:rPr>
                <w:rFonts w:asciiTheme="minorHAnsi" w:hAnsiTheme="minorHAnsi"/>
                <w:bCs/>
                <w:sz w:val="24"/>
                <w:szCs w:val="24"/>
              </w:rPr>
            </w:pPr>
            <w:r w:rsidRPr="0022312B">
              <w:rPr>
                <w:rFonts w:asciiTheme="minorHAnsi" w:hAnsiTheme="minorHAnsi"/>
                <w:bCs/>
                <w:sz w:val="24"/>
                <w:szCs w:val="24"/>
              </w:rPr>
              <w:t>79</w:t>
            </w:r>
          </w:p>
        </w:tc>
        <w:tc>
          <w:tcPr>
            <w:tcW w:w="630" w:type="dxa"/>
          </w:tcPr>
          <w:p w:rsidR="002C5F55" w:rsidRPr="00140EF4" w:rsidRDefault="002C5F55" w:rsidP="002F176B">
            <w:pPr>
              <w:jc w:val="center"/>
              <w:rPr>
                <w:rFonts w:asciiTheme="minorHAnsi" w:hAnsiTheme="minorHAnsi"/>
                <w:bCs/>
                <w:sz w:val="24"/>
                <w:szCs w:val="24"/>
              </w:rPr>
            </w:pPr>
            <w:r w:rsidRPr="00140EF4">
              <w:rPr>
                <w:rFonts w:asciiTheme="minorHAnsi" w:hAnsiTheme="minorHAnsi"/>
                <w:bCs/>
                <w:sz w:val="24"/>
                <w:szCs w:val="24"/>
              </w:rPr>
              <w:t>81</w:t>
            </w:r>
          </w:p>
        </w:tc>
        <w:tc>
          <w:tcPr>
            <w:tcW w:w="630" w:type="dxa"/>
          </w:tcPr>
          <w:p w:rsidR="002C5F55" w:rsidRPr="008C68FB" w:rsidRDefault="002C5F55" w:rsidP="002F176B">
            <w:pPr>
              <w:jc w:val="center"/>
              <w:rPr>
                <w:rFonts w:asciiTheme="minorHAnsi" w:hAnsiTheme="minorHAnsi"/>
                <w:bCs/>
                <w:sz w:val="24"/>
                <w:szCs w:val="24"/>
              </w:rPr>
            </w:pPr>
            <w:r w:rsidRPr="008C68FB">
              <w:rPr>
                <w:rFonts w:asciiTheme="minorHAnsi" w:hAnsiTheme="minorHAnsi"/>
                <w:bCs/>
                <w:sz w:val="24"/>
                <w:szCs w:val="24"/>
              </w:rPr>
              <w:t>93</w:t>
            </w:r>
          </w:p>
        </w:tc>
        <w:tc>
          <w:tcPr>
            <w:tcW w:w="630" w:type="dxa"/>
          </w:tcPr>
          <w:p w:rsidR="002C5F55" w:rsidRPr="002C5F55" w:rsidRDefault="002C5F55" w:rsidP="002F176B">
            <w:pPr>
              <w:jc w:val="center"/>
              <w:rPr>
                <w:rFonts w:asciiTheme="minorHAnsi" w:hAnsiTheme="minorHAnsi"/>
                <w:bCs/>
                <w:sz w:val="24"/>
                <w:szCs w:val="24"/>
              </w:rPr>
            </w:pPr>
            <w:r w:rsidRPr="002C5F55">
              <w:rPr>
                <w:rFonts w:asciiTheme="minorHAnsi" w:hAnsiTheme="minorHAnsi"/>
                <w:bCs/>
                <w:sz w:val="24"/>
                <w:szCs w:val="24"/>
              </w:rPr>
              <w:t>92</w:t>
            </w:r>
          </w:p>
        </w:tc>
        <w:tc>
          <w:tcPr>
            <w:tcW w:w="630" w:type="dxa"/>
          </w:tcPr>
          <w:p w:rsidR="002C5F55" w:rsidRPr="002C5F55" w:rsidRDefault="002F176B" w:rsidP="002F176B">
            <w:pPr>
              <w:jc w:val="center"/>
              <w:rPr>
                <w:rFonts w:asciiTheme="minorHAnsi" w:hAnsiTheme="minorHAnsi"/>
                <w:b/>
                <w:bCs/>
                <w:color w:val="FF0000"/>
                <w:sz w:val="24"/>
                <w:szCs w:val="24"/>
              </w:rPr>
            </w:pPr>
            <w:r>
              <w:rPr>
                <w:rFonts w:asciiTheme="minorHAnsi" w:hAnsiTheme="minorHAnsi"/>
                <w:b/>
                <w:bCs/>
                <w:color w:val="FF0000"/>
                <w:sz w:val="24"/>
                <w:szCs w:val="24"/>
              </w:rPr>
              <w:t>73</w:t>
            </w:r>
          </w:p>
        </w:tc>
      </w:tr>
    </w:tbl>
    <w:p w:rsidR="00BA63C3" w:rsidRDefault="00BA63C3" w:rsidP="00BA63C3">
      <w:pPr>
        <w:pStyle w:val="BodyText"/>
        <w:jc w:val="both"/>
        <w:rPr>
          <w:rFonts w:asciiTheme="minorHAnsi" w:hAnsiTheme="minorHAnsi"/>
          <w:bCs/>
        </w:rPr>
      </w:pPr>
    </w:p>
    <w:p w:rsidR="00BA63C3" w:rsidRDefault="00BA63C3" w:rsidP="00BA63C3">
      <w:pPr>
        <w:pStyle w:val="BodyText"/>
        <w:jc w:val="both"/>
        <w:rPr>
          <w:rFonts w:asciiTheme="minorHAnsi" w:hAnsiTheme="minorHAnsi"/>
        </w:rPr>
      </w:pPr>
      <w:r>
        <w:rPr>
          <w:rFonts w:asciiTheme="minorHAnsi" w:hAnsiTheme="minorHAnsi"/>
          <w:bCs/>
        </w:rPr>
        <w:t xml:space="preserve">     </w:t>
      </w:r>
      <w:r w:rsidRPr="00A16353">
        <w:rPr>
          <w:rFonts w:asciiTheme="minorHAnsi" w:hAnsiTheme="minorHAnsi"/>
        </w:rPr>
        <w:t>The current poll of</w:t>
      </w:r>
      <w:r>
        <w:rPr>
          <w:rFonts w:asciiTheme="minorHAnsi" w:hAnsiTheme="minorHAnsi"/>
        </w:rPr>
        <w:t xml:space="preserve"> 422 </w:t>
      </w:r>
      <w:r w:rsidRPr="00A16353">
        <w:rPr>
          <w:rFonts w:asciiTheme="minorHAnsi" w:hAnsiTheme="minorHAnsi"/>
        </w:rPr>
        <w:t xml:space="preserve">randomly selected adult residents of Davidson, Rutherford and Williamson counties was conducted the evenings of </w:t>
      </w:r>
      <w:r>
        <w:rPr>
          <w:rFonts w:asciiTheme="minorHAnsi" w:hAnsiTheme="minorHAnsi"/>
        </w:rPr>
        <w:t>Tuesday, November 27 and Thursday, November 29.</w:t>
      </w:r>
      <w:r w:rsidRPr="00A16353">
        <w:rPr>
          <w:rFonts w:asciiTheme="minorHAnsi" w:hAnsiTheme="minorHAnsi"/>
        </w:rPr>
        <w:t xml:space="preserve">  </w:t>
      </w:r>
    </w:p>
    <w:p w:rsidR="00B661BD" w:rsidRDefault="00B661BD" w:rsidP="00B661BD">
      <w:pPr>
        <w:pStyle w:val="BodyText"/>
        <w:jc w:val="both"/>
        <w:rPr>
          <w:rFonts w:asciiTheme="minorHAnsi" w:hAnsiTheme="minorHAnsi"/>
          <w:bCs/>
        </w:rPr>
      </w:pPr>
    </w:p>
    <w:p w:rsidR="00F736A9" w:rsidRDefault="00F736A9" w:rsidP="00B661BD">
      <w:pPr>
        <w:pStyle w:val="BodyText"/>
        <w:jc w:val="both"/>
        <w:rPr>
          <w:rFonts w:asciiTheme="minorHAnsi" w:hAnsiTheme="minorHAnsi"/>
          <w:b/>
          <w:bCs/>
          <w:i/>
        </w:rPr>
      </w:pPr>
    </w:p>
    <w:p w:rsidR="00BA63C3" w:rsidRDefault="007F668D" w:rsidP="00B661BD">
      <w:pPr>
        <w:pStyle w:val="BodyText"/>
        <w:jc w:val="both"/>
        <w:rPr>
          <w:rFonts w:asciiTheme="minorHAnsi" w:hAnsiTheme="minorHAnsi"/>
          <w:bCs/>
        </w:rPr>
      </w:pPr>
      <w:r w:rsidRPr="007F668D">
        <w:rPr>
          <w:rFonts w:asciiTheme="minorHAnsi" w:hAnsiTheme="minorHAnsi"/>
          <w:b/>
          <w:bCs/>
          <w:i/>
        </w:rPr>
        <w:t>What Was on Consumers’ Minds?</w:t>
      </w:r>
      <w:r w:rsidR="00BA63C3">
        <w:rPr>
          <w:rFonts w:asciiTheme="minorHAnsi" w:hAnsiTheme="minorHAnsi"/>
          <w:bCs/>
        </w:rPr>
        <w:t xml:space="preserve">     Consumers were given an opportunity to offer a reason for why they rated the economy as they did.  Below is a word cloud that depicts the 25 most frequently mentioned words that appeared in these open-ended responses. </w:t>
      </w:r>
      <w:r w:rsidR="008A757A">
        <w:rPr>
          <w:rFonts w:asciiTheme="minorHAnsi" w:hAnsiTheme="minorHAnsi"/>
          <w:bCs/>
        </w:rPr>
        <w:t xml:space="preserve"> The larger the word, the more frequently it was mentioned.</w:t>
      </w:r>
      <w:r w:rsidR="00BA63C3">
        <w:rPr>
          <w:rFonts w:asciiTheme="minorHAnsi" w:hAnsiTheme="minorHAnsi"/>
          <w:bCs/>
        </w:rPr>
        <w:t xml:space="preserve"> </w:t>
      </w:r>
      <w:r w:rsidR="008A757A">
        <w:rPr>
          <w:rFonts w:asciiTheme="minorHAnsi" w:hAnsiTheme="minorHAnsi"/>
          <w:bCs/>
        </w:rPr>
        <w:t xml:space="preserve"> </w:t>
      </w:r>
      <w:r w:rsidR="00BA63C3">
        <w:rPr>
          <w:rFonts w:asciiTheme="minorHAnsi" w:hAnsiTheme="minorHAnsi"/>
          <w:bCs/>
        </w:rPr>
        <w:t xml:space="preserve">This can provide clues </w:t>
      </w:r>
      <w:r>
        <w:rPr>
          <w:rFonts w:asciiTheme="minorHAnsi" w:hAnsiTheme="minorHAnsi"/>
          <w:bCs/>
        </w:rPr>
        <w:t xml:space="preserve">about the thoughts </w:t>
      </w:r>
      <w:r w:rsidR="00BA63C3">
        <w:rPr>
          <w:rFonts w:asciiTheme="minorHAnsi" w:hAnsiTheme="minorHAnsi"/>
          <w:bCs/>
        </w:rPr>
        <w:t xml:space="preserve">that were on consumers’ minds as they responded to the survey.  </w:t>
      </w:r>
    </w:p>
    <w:p w:rsidR="00D161C8" w:rsidRDefault="00D161C8" w:rsidP="00B661BD">
      <w:pPr>
        <w:pStyle w:val="BodyText"/>
        <w:jc w:val="both"/>
        <w:rPr>
          <w:rFonts w:asciiTheme="minorHAnsi" w:hAnsiTheme="minorHAnsi"/>
          <w:bCs/>
        </w:rPr>
      </w:pPr>
    </w:p>
    <w:p w:rsidR="008A757A" w:rsidRDefault="008A757A" w:rsidP="008A757A">
      <w:pPr>
        <w:pStyle w:val="BodyText"/>
        <w:jc w:val="center"/>
        <w:rPr>
          <w:rFonts w:asciiTheme="minorHAnsi" w:hAnsiTheme="minorHAnsi"/>
          <w:b/>
          <w:bCs/>
          <w:i/>
        </w:rPr>
      </w:pPr>
      <w:r>
        <w:rPr>
          <w:noProof/>
        </w:rPr>
        <w:drawing>
          <wp:inline distT="0" distB="0" distL="0" distR="0" wp14:anchorId="3A5FFCDA" wp14:editId="5A3EEF0F">
            <wp:extent cx="5238750" cy="1571625"/>
            <wp:effectExtent l="190500" t="190500" r="190500" b="2000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604" t="20182" r="1909" b="44011"/>
                    <a:stretch/>
                  </pic:blipFill>
                  <pic:spPr bwMode="auto">
                    <a:xfrm>
                      <a:off x="0" y="0"/>
                      <a:ext cx="5238750" cy="15716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D161C8" w:rsidRDefault="00D161C8" w:rsidP="00FC0884">
      <w:pPr>
        <w:pStyle w:val="BodyText"/>
        <w:jc w:val="both"/>
        <w:rPr>
          <w:rFonts w:asciiTheme="minorHAnsi" w:hAnsiTheme="minorHAnsi"/>
          <w:b/>
          <w:bCs/>
          <w:i/>
        </w:rPr>
      </w:pPr>
    </w:p>
    <w:p w:rsidR="00FC0884" w:rsidRDefault="007F668D" w:rsidP="00FC0884">
      <w:pPr>
        <w:pStyle w:val="BodyText"/>
        <w:jc w:val="both"/>
        <w:rPr>
          <w:rFonts w:asciiTheme="minorHAnsi" w:hAnsiTheme="minorHAnsi"/>
          <w:bCs/>
        </w:rPr>
      </w:pPr>
      <w:proofErr w:type="gramStart"/>
      <w:r w:rsidRPr="007F668D">
        <w:rPr>
          <w:rFonts w:asciiTheme="minorHAnsi" w:hAnsiTheme="minorHAnsi"/>
          <w:b/>
          <w:bCs/>
          <w:i/>
        </w:rPr>
        <w:t>Current Situation.</w:t>
      </w:r>
      <w:proofErr w:type="gramEnd"/>
      <w:r>
        <w:rPr>
          <w:rFonts w:asciiTheme="minorHAnsi" w:hAnsiTheme="minorHAnsi"/>
          <w:bCs/>
        </w:rPr>
        <w:t xml:space="preserve">      </w:t>
      </w:r>
      <w:r w:rsidR="00B661BD">
        <w:rPr>
          <w:rFonts w:asciiTheme="minorHAnsi" w:hAnsiTheme="minorHAnsi"/>
          <w:bCs/>
        </w:rPr>
        <w:t>T</w:t>
      </w:r>
      <w:r w:rsidR="00FC0884">
        <w:rPr>
          <w:rFonts w:asciiTheme="minorHAnsi" w:hAnsiTheme="minorHAnsi"/>
          <w:bCs/>
        </w:rPr>
        <w:t xml:space="preserve">he fact that the current situation index remains in the negative range indicates that the number of consumers who hold negative views of the current economy outnumber those who hold positive views of the current economy.  </w:t>
      </w:r>
      <w:r w:rsidR="00FC0884" w:rsidRPr="0007741E">
        <w:rPr>
          <w:rFonts w:asciiTheme="minorHAnsi" w:hAnsiTheme="minorHAnsi"/>
          <w:bCs/>
        </w:rPr>
        <w:t xml:space="preserve"> </w:t>
      </w:r>
      <w:r w:rsidR="00D161C8">
        <w:rPr>
          <w:rFonts w:asciiTheme="minorHAnsi" w:hAnsiTheme="minorHAnsi"/>
          <w:bCs/>
        </w:rPr>
        <w:t xml:space="preserve">Further, given that </w:t>
      </w:r>
      <w:r w:rsidR="00B661BD">
        <w:rPr>
          <w:rFonts w:asciiTheme="minorHAnsi" w:hAnsiTheme="minorHAnsi"/>
          <w:bCs/>
        </w:rPr>
        <w:t>the current situation index has been in the negative range since April of 2008</w:t>
      </w:r>
      <w:r w:rsidR="00D161C8">
        <w:rPr>
          <w:rFonts w:asciiTheme="minorHAnsi" w:hAnsiTheme="minorHAnsi"/>
          <w:bCs/>
        </w:rPr>
        <w:t xml:space="preserve">, this </w:t>
      </w:r>
      <w:r w:rsidR="00B661BD">
        <w:rPr>
          <w:rFonts w:asciiTheme="minorHAnsi" w:hAnsiTheme="minorHAnsi"/>
          <w:bCs/>
        </w:rPr>
        <w:t>indicates a long</w:t>
      </w:r>
      <w:r w:rsidR="007D5075">
        <w:rPr>
          <w:rFonts w:asciiTheme="minorHAnsi" w:hAnsiTheme="minorHAnsi"/>
          <w:bCs/>
        </w:rPr>
        <w:t xml:space="preserve">-held </w:t>
      </w:r>
      <w:r w:rsidR="00B661BD">
        <w:rPr>
          <w:rFonts w:asciiTheme="minorHAnsi" w:hAnsiTheme="minorHAnsi"/>
          <w:bCs/>
        </w:rPr>
        <w:t xml:space="preserve">frustration with the state of the economy.   </w:t>
      </w:r>
    </w:p>
    <w:p w:rsidR="00F736A9" w:rsidRDefault="00F736A9" w:rsidP="00FC0884">
      <w:pPr>
        <w:pStyle w:val="BodyText"/>
        <w:jc w:val="both"/>
        <w:rPr>
          <w:rFonts w:asciiTheme="minorHAnsi" w:hAnsiTheme="minorHAnsi"/>
          <w:bCs/>
        </w:rPr>
      </w:pPr>
    </w:p>
    <w:p w:rsidR="00F736A9" w:rsidRDefault="00F736A9" w:rsidP="00FC0884">
      <w:pPr>
        <w:pStyle w:val="BodyText"/>
        <w:jc w:val="both"/>
        <w:rPr>
          <w:rFonts w:asciiTheme="minorHAnsi" w:hAnsiTheme="minorHAnsi"/>
          <w:bCs/>
        </w:rPr>
      </w:pPr>
      <w:r>
        <w:rPr>
          <w:rFonts w:asciiTheme="minorHAnsi" w:hAnsiTheme="minorHAnsi"/>
          <w:bCs/>
        </w:rPr>
        <w:t xml:space="preserve">     Although the percent of consumers who said that business conditions in the country as a whole </w:t>
      </w:r>
      <w:r w:rsidR="00D161C8">
        <w:rPr>
          <w:rFonts w:asciiTheme="minorHAnsi" w:hAnsiTheme="minorHAnsi"/>
          <w:bCs/>
        </w:rPr>
        <w:t xml:space="preserve">are good </w:t>
      </w:r>
      <w:r>
        <w:rPr>
          <w:rFonts w:asciiTheme="minorHAnsi" w:hAnsiTheme="minorHAnsi"/>
          <w:bCs/>
        </w:rPr>
        <w:t xml:space="preserve">rose modestly to 14 from 11, the percent who said that business conditions in Middle Tennessee are good dropped to 35 from 40.  </w:t>
      </w:r>
    </w:p>
    <w:p w:rsidR="00FC0884" w:rsidRDefault="00FC0884" w:rsidP="00FC0884">
      <w:pPr>
        <w:pStyle w:val="BodyText"/>
        <w:jc w:val="both"/>
        <w:rPr>
          <w:rFonts w:asciiTheme="minorHAnsi" w:hAnsiTheme="minorHAnsi"/>
          <w:bCs/>
        </w:rPr>
      </w:pPr>
    </w:p>
    <w:p w:rsidR="00F736A9" w:rsidRDefault="007F668D" w:rsidP="00BE0E77">
      <w:pPr>
        <w:pStyle w:val="BodyText"/>
        <w:jc w:val="both"/>
        <w:rPr>
          <w:rFonts w:asciiTheme="minorHAnsi" w:hAnsiTheme="minorHAnsi"/>
          <w:bCs/>
        </w:rPr>
      </w:pPr>
      <w:proofErr w:type="gramStart"/>
      <w:r w:rsidRPr="007F668D">
        <w:rPr>
          <w:rFonts w:asciiTheme="minorHAnsi" w:hAnsiTheme="minorHAnsi"/>
          <w:b/>
          <w:bCs/>
          <w:i/>
        </w:rPr>
        <w:t>Future Expectations.</w:t>
      </w:r>
      <w:proofErr w:type="gramEnd"/>
      <w:r>
        <w:rPr>
          <w:rFonts w:asciiTheme="minorHAnsi" w:hAnsiTheme="minorHAnsi"/>
          <w:bCs/>
        </w:rPr>
        <w:t xml:space="preserve">     </w:t>
      </w:r>
      <w:r w:rsidR="00D161C8">
        <w:rPr>
          <w:rFonts w:asciiTheme="minorHAnsi" w:hAnsiTheme="minorHAnsi"/>
          <w:bCs/>
        </w:rPr>
        <w:t xml:space="preserve">Any </w:t>
      </w:r>
      <w:r w:rsidR="009B1BF7">
        <w:rPr>
          <w:rFonts w:asciiTheme="minorHAnsi" w:hAnsiTheme="minorHAnsi"/>
          <w:bCs/>
        </w:rPr>
        <w:t xml:space="preserve">optimism regarding the future of the economy that was building since this time last year </w:t>
      </w:r>
      <w:r>
        <w:rPr>
          <w:rFonts w:asciiTheme="minorHAnsi" w:hAnsiTheme="minorHAnsi"/>
          <w:bCs/>
        </w:rPr>
        <w:t xml:space="preserve">has apparently ceased, indicating that local consumers are becoming </w:t>
      </w:r>
      <w:r w:rsidR="00BE0E77">
        <w:rPr>
          <w:rFonts w:asciiTheme="minorHAnsi" w:hAnsiTheme="minorHAnsi"/>
          <w:bCs/>
        </w:rPr>
        <w:t xml:space="preserve">increasingly concerned </w:t>
      </w:r>
      <w:r>
        <w:rPr>
          <w:rFonts w:asciiTheme="minorHAnsi" w:hAnsiTheme="minorHAnsi"/>
          <w:bCs/>
        </w:rPr>
        <w:t xml:space="preserve">about the future of the economy.  </w:t>
      </w:r>
      <w:r w:rsidR="00D63BD9">
        <w:rPr>
          <w:rFonts w:asciiTheme="minorHAnsi" w:hAnsiTheme="minorHAnsi"/>
          <w:bCs/>
        </w:rPr>
        <w:t xml:space="preserve">Worries about the current and future job market, concerns about the growing national debt </w:t>
      </w:r>
      <w:r>
        <w:rPr>
          <w:rFonts w:asciiTheme="minorHAnsi" w:hAnsiTheme="minorHAnsi"/>
          <w:bCs/>
        </w:rPr>
        <w:t xml:space="preserve">and the potential fiscal cliff, </w:t>
      </w:r>
      <w:r w:rsidR="00BE0E77">
        <w:rPr>
          <w:rFonts w:asciiTheme="minorHAnsi" w:hAnsiTheme="minorHAnsi"/>
          <w:bCs/>
        </w:rPr>
        <w:t xml:space="preserve">fears of increasing taxes, </w:t>
      </w:r>
      <w:r w:rsidR="00D161C8">
        <w:rPr>
          <w:rFonts w:asciiTheme="minorHAnsi" w:hAnsiTheme="minorHAnsi"/>
          <w:bCs/>
        </w:rPr>
        <w:t xml:space="preserve">and </w:t>
      </w:r>
      <w:r w:rsidR="00BE0E77">
        <w:rPr>
          <w:rFonts w:asciiTheme="minorHAnsi" w:hAnsiTheme="minorHAnsi"/>
          <w:bCs/>
        </w:rPr>
        <w:t>growing concerns about the long term prospects for the stock market are all contributing to the pessimistic turn in consumers’ outlook</w:t>
      </w:r>
      <w:r w:rsidR="00F736A9">
        <w:rPr>
          <w:rFonts w:asciiTheme="minorHAnsi" w:hAnsiTheme="minorHAnsi"/>
          <w:bCs/>
        </w:rPr>
        <w:t>.</w:t>
      </w:r>
    </w:p>
    <w:p w:rsidR="00F736A9" w:rsidRDefault="00F736A9" w:rsidP="00BE0E77">
      <w:pPr>
        <w:pStyle w:val="BodyText"/>
        <w:jc w:val="both"/>
        <w:rPr>
          <w:rFonts w:asciiTheme="minorHAnsi" w:hAnsiTheme="minorHAnsi"/>
          <w:bCs/>
        </w:rPr>
      </w:pPr>
    </w:p>
    <w:p w:rsidR="00D63BD9" w:rsidRDefault="00F736A9" w:rsidP="00BE0E77">
      <w:pPr>
        <w:pStyle w:val="BodyText"/>
        <w:jc w:val="both"/>
        <w:rPr>
          <w:rFonts w:asciiTheme="minorHAnsi" w:hAnsiTheme="minorHAnsi"/>
          <w:bCs/>
        </w:rPr>
      </w:pPr>
      <w:r>
        <w:rPr>
          <w:rFonts w:asciiTheme="minorHAnsi" w:hAnsiTheme="minorHAnsi"/>
          <w:bCs/>
        </w:rPr>
        <w:t xml:space="preserve">     Although the percent of consumers who said that six months from now the economy will be better held steady, the percent of consumers who expect the future economy to be worse rose (to 28 percent from 13 percent for the overall American economy; and to 18 percent from 7 percent for the local economy).  Similarly, while perceptions of the current job market were relatively unchanged, the percent who said that there will be fewer job openings in the next six months rose to 16 percent from 9 percent.  </w:t>
      </w:r>
      <w:r w:rsidR="007F668D">
        <w:rPr>
          <w:rFonts w:asciiTheme="minorHAnsi" w:hAnsiTheme="minorHAnsi"/>
          <w:bCs/>
        </w:rPr>
        <w:t xml:space="preserve"> </w:t>
      </w:r>
    </w:p>
    <w:p w:rsidR="00F736A9" w:rsidRDefault="00BE0E77" w:rsidP="009821BD">
      <w:pPr>
        <w:pStyle w:val="BodyText"/>
        <w:jc w:val="both"/>
        <w:rPr>
          <w:rFonts w:asciiTheme="minorHAnsi" w:hAnsiTheme="minorHAnsi"/>
          <w:bCs/>
        </w:rPr>
      </w:pPr>
      <w:proofErr w:type="gramStart"/>
      <w:r w:rsidRPr="00BE0E77">
        <w:rPr>
          <w:rFonts w:asciiTheme="minorHAnsi" w:hAnsiTheme="minorHAnsi"/>
          <w:b/>
          <w:bCs/>
          <w:i/>
        </w:rPr>
        <w:lastRenderedPageBreak/>
        <w:t>Purchasing Situation.</w:t>
      </w:r>
      <w:proofErr w:type="gramEnd"/>
      <w:r w:rsidR="004246CD">
        <w:rPr>
          <w:rFonts w:asciiTheme="minorHAnsi" w:hAnsiTheme="minorHAnsi"/>
          <w:bCs/>
        </w:rPr>
        <w:t xml:space="preserve">     </w:t>
      </w:r>
      <w:r w:rsidR="00E06841">
        <w:rPr>
          <w:rFonts w:asciiTheme="minorHAnsi" w:hAnsiTheme="minorHAnsi"/>
          <w:bCs/>
        </w:rPr>
        <w:t>T</w:t>
      </w:r>
      <w:r w:rsidR="004246CD">
        <w:rPr>
          <w:rFonts w:asciiTheme="minorHAnsi" w:hAnsiTheme="minorHAnsi"/>
          <w:bCs/>
        </w:rPr>
        <w:t xml:space="preserve">he purchasing situation index had been steadily increasing since May of 2011.  However, this </w:t>
      </w:r>
      <w:r w:rsidR="00E06841">
        <w:rPr>
          <w:rFonts w:asciiTheme="minorHAnsi" w:hAnsiTheme="minorHAnsi"/>
          <w:bCs/>
        </w:rPr>
        <w:t xml:space="preserve">positive trend has also reversed.  </w:t>
      </w:r>
      <w:r w:rsidR="00D63BD9">
        <w:rPr>
          <w:rFonts w:asciiTheme="minorHAnsi" w:hAnsiTheme="minorHAnsi"/>
          <w:bCs/>
        </w:rPr>
        <w:t xml:space="preserve">This could translate into consumers becoming </w:t>
      </w:r>
      <w:r w:rsidR="00D161C8">
        <w:rPr>
          <w:rFonts w:asciiTheme="minorHAnsi" w:hAnsiTheme="minorHAnsi"/>
          <w:bCs/>
        </w:rPr>
        <w:t xml:space="preserve">less </w:t>
      </w:r>
      <w:r w:rsidR="00D63BD9">
        <w:rPr>
          <w:rFonts w:asciiTheme="minorHAnsi" w:hAnsiTheme="minorHAnsi"/>
          <w:bCs/>
        </w:rPr>
        <w:t xml:space="preserve">willing to spend money. </w:t>
      </w:r>
    </w:p>
    <w:p w:rsidR="00D63BD9" w:rsidRDefault="00F736A9" w:rsidP="009821BD">
      <w:pPr>
        <w:pStyle w:val="BodyText"/>
        <w:jc w:val="both"/>
        <w:rPr>
          <w:rFonts w:asciiTheme="minorHAnsi" w:hAnsiTheme="minorHAnsi"/>
          <w:bCs/>
        </w:rPr>
      </w:pPr>
      <w:r>
        <w:rPr>
          <w:rFonts w:asciiTheme="minorHAnsi" w:hAnsiTheme="minorHAnsi"/>
          <w:bCs/>
        </w:rPr>
        <w:t xml:space="preserve">     </w:t>
      </w:r>
      <w:r w:rsidR="00D63BD9">
        <w:rPr>
          <w:rFonts w:asciiTheme="minorHAnsi" w:hAnsiTheme="minorHAnsi"/>
          <w:bCs/>
        </w:rPr>
        <w:t xml:space="preserve">    </w:t>
      </w:r>
    </w:p>
    <w:p w:rsidR="001E06A1" w:rsidRDefault="001E06A1" w:rsidP="00BD6A40">
      <w:pPr>
        <w:pStyle w:val="BodyText"/>
        <w:jc w:val="center"/>
        <w:rPr>
          <w:rFonts w:asciiTheme="minorHAnsi" w:hAnsiTheme="minorHAnsi"/>
          <w:b/>
          <w:bCs/>
          <w:u w:val="single"/>
        </w:rPr>
      </w:pPr>
      <w:r>
        <w:rPr>
          <w:rFonts w:asciiTheme="minorHAnsi" w:hAnsiTheme="minorHAnsi"/>
          <w:b/>
          <w:bCs/>
          <w:noProof/>
          <w:u w:val="single"/>
        </w:rPr>
        <w:drawing>
          <wp:inline distT="0" distB="0" distL="0" distR="0" wp14:anchorId="414B562F" wp14:editId="02361548">
            <wp:extent cx="5143500" cy="40957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06A1" w:rsidRDefault="001E06A1" w:rsidP="00BD6A40">
      <w:pPr>
        <w:pStyle w:val="BodyText"/>
        <w:jc w:val="both"/>
        <w:rPr>
          <w:rFonts w:asciiTheme="minorHAnsi" w:hAnsiTheme="minorHAnsi"/>
          <w:b/>
          <w:bCs/>
          <w:u w:val="single"/>
        </w:rPr>
      </w:pPr>
    </w:p>
    <w:p w:rsidR="007D5075" w:rsidRDefault="007D5075" w:rsidP="00525FB0">
      <w:pPr>
        <w:pStyle w:val="BodyText"/>
        <w:jc w:val="both"/>
        <w:rPr>
          <w:rFonts w:asciiTheme="minorHAnsi" w:hAnsiTheme="minorHAnsi"/>
          <w:bCs/>
        </w:rPr>
      </w:pP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w:t>
      </w:r>
      <w:r w:rsidR="00A07B8D">
        <w:rPr>
          <w:rFonts w:asciiTheme="minorHAnsi" w:hAnsiTheme="minorHAnsi"/>
          <w:bCs/>
        </w:rPr>
        <w:t>consumer outlook index</w:t>
      </w:r>
      <w:r w:rsidRPr="00A16353">
        <w:rPr>
          <w:rFonts w:asciiTheme="minorHAnsi" w:hAnsiTheme="minorHAnsi"/>
          <w:bCs/>
        </w:rPr>
        <w:t xml:space="preserve">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w:t>
      </w:r>
      <w:r w:rsidR="00EC7C28">
        <w:rPr>
          <w:rFonts w:asciiTheme="minorHAnsi" w:hAnsiTheme="minorHAnsi"/>
          <w:bCs/>
        </w:rPr>
        <w:t xml:space="preserve">outlook </w:t>
      </w:r>
      <w:r w:rsidRPr="00A16353">
        <w:rPr>
          <w:rFonts w:asciiTheme="minorHAnsi" w:hAnsiTheme="minorHAnsi"/>
          <w:bCs/>
        </w:rPr>
        <w:t>index is based on all eleven questions combined</w:t>
      </w:r>
      <w:r>
        <w:rPr>
          <w:rFonts w:asciiTheme="minorHAnsi" w:hAnsiTheme="minorHAnsi"/>
          <w:bCs/>
        </w:rPr>
        <w:t xml:space="preserve"> (the complete questions are shown </w:t>
      </w:r>
      <w:r w:rsidR="00EC7C28">
        <w:rPr>
          <w:rFonts w:asciiTheme="minorHAnsi" w:hAnsiTheme="minorHAnsi"/>
          <w:bCs/>
        </w:rPr>
        <w:t xml:space="preserve">at the end of this </w:t>
      </w:r>
      <w:r>
        <w:rPr>
          <w:rFonts w:asciiTheme="minorHAnsi" w:hAnsiTheme="minorHAnsi"/>
          <w:bCs/>
        </w:rPr>
        <w:t>report)</w:t>
      </w:r>
      <w:r w:rsidRPr="00A16353">
        <w:rPr>
          <w:rFonts w:asciiTheme="minorHAnsi" w:hAnsiTheme="minorHAnsi"/>
          <w:bCs/>
        </w:rPr>
        <w:t>.</w:t>
      </w:r>
    </w:p>
    <w:p w:rsidR="00525FB0" w:rsidRPr="00A16353" w:rsidRDefault="00525FB0" w:rsidP="00525FB0">
      <w:pPr>
        <w:pStyle w:val="BodyText"/>
        <w:jc w:val="both"/>
        <w:rPr>
          <w:rFonts w:asciiTheme="minorHAnsi" w:hAnsiTheme="minorHAnsi"/>
          <w:bCs/>
        </w:rPr>
      </w:pPr>
      <w:r>
        <w:rPr>
          <w:rFonts w:asciiTheme="minorHAnsi" w:hAnsiTheme="minorHAnsi"/>
          <w:bCs/>
        </w:rPr>
        <w:t xml:space="preserve">  </w:t>
      </w: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scores for each index are computed by </w:t>
      </w:r>
      <w:r w:rsidRPr="00A16353">
        <w:rPr>
          <w:rFonts w:asciiTheme="minorHAnsi" w:hAnsiTheme="minorHAnsi"/>
        </w:rPr>
        <w:t xml:space="preserve">adding the percentage of favorable responses to each question and subtracting the percentage of negative responses to each question.  </w:t>
      </w:r>
      <w:r w:rsidRPr="00A16353">
        <w:rPr>
          <w:rFonts w:asciiTheme="minorHAnsi" w:hAnsiTheme="minorHAnsi"/>
          <w:bCs/>
        </w:rPr>
        <w:t xml:space="preserve">A </w:t>
      </w:r>
      <w:r>
        <w:rPr>
          <w:rFonts w:asciiTheme="minorHAnsi" w:hAnsiTheme="minorHAnsi"/>
          <w:bCs/>
        </w:rPr>
        <w:t xml:space="preserve">net </w:t>
      </w:r>
      <w:r w:rsidRPr="00A16353">
        <w:rPr>
          <w:rFonts w:asciiTheme="minorHAnsi" w:hAnsiTheme="minorHAnsi"/>
          <w:bCs/>
        </w:rPr>
        <w:t>score of zero would indicate that the percentage of consumers who hold negative views of the economy is equal to the percentage of consumers who hold positive views of the economy.  A</w:t>
      </w:r>
      <w:r>
        <w:rPr>
          <w:rFonts w:asciiTheme="minorHAnsi" w:hAnsiTheme="minorHAnsi"/>
          <w:bCs/>
        </w:rPr>
        <w:t xml:space="preserve"> net </w:t>
      </w:r>
      <w:r w:rsidRPr="00A16353">
        <w:rPr>
          <w:rFonts w:asciiTheme="minorHAnsi" w:hAnsiTheme="minorHAnsi"/>
          <w:bCs/>
        </w:rPr>
        <w:t xml:space="preserve">positive score would indicate that consumers who hold positive views of the economy outnumber those who hold negative views of the economy. </w:t>
      </w:r>
    </w:p>
    <w:p w:rsidR="00A67796" w:rsidRDefault="00A67796" w:rsidP="002B3426">
      <w:pPr>
        <w:pStyle w:val="BodyText"/>
        <w:jc w:val="both"/>
        <w:rPr>
          <w:rFonts w:asciiTheme="minorHAnsi" w:hAnsiTheme="minorHAnsi"/>
          <w:bCs/>
        </w:rPr>
      </w:pPr>
    </w:p>
    <w:p w:rsidR="00481431" w:rsidRPr="00546A3A" w:rsidRDefault="00481431" w:rsidP="00481431">
      <w:pPr>
        <w:rPr>
          <w:rFonts w:asciiTheme="minorHAnsi" w:hAnsiTheme="minorHAnsi"/>
          <w:bCs/>
          <w:sz w:val="28"/>
          <w:szCs w:val="28"/>
        </w:rPr>
      </w:pPr>
      <w:r>
        <w:rPr>
          <w:rFonts w:asciiTheme="minorHAnsi" w:hAnsiTheme="minorHAnsi"/>
          <w:bCs/>
        </w:rPr>
        <w:br w:type="column"/>
      </w:r>
      <w:r w:rsidRPr="00546A3A">
        <w:rPr>
          <w:rFonts w:asciiTheme="minorHAnsi" w:hAnsiTheme="minorHAnsi"/>
          <w:b/>
          <w:bCs/>
          <w:sz w:val="28"/>
          <w:szCs w:val="28"/>
          <w:u w:val="single"/>
        </w:rPr>
        <w:lastRenderedPageBreak/>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sidR="008D1183">
        <w:rPr>
          <w:rFonts w:asciiTheme="minorHAnsi" w:hAnsiTheme="minorHAnsi"/>
          <w:bCs/>
          <w:sz w:val="24"/>
        </w:rPr>
        <w:t>September</w:t>
      </w:r>
      <w:r w:rsidR="009173C5">
        <w:rPr>
          <w:rFonts w:asciiTheme="minorHAnsi" w:hAnsiTheme="minorHAnsi"/>
          <w:bCs/>
          <w:sz w:val="24"/>
        </w:rPr>
        <w:t xml:space="preserve"> </w:t>
      </w:r>
      <w:r>
        <w:rPr>
          <w:rFonts w:asciiTheme="minorHAnsi" w:hAnsiTheme="minorHAnsi"/>
          <w:bCs/>
          <w:sz w:val="24"/>
        </w:rPr>
        <w:t>2012</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ook w:val="04A0" w:firstRow="1" w:lastRow="0" w:firstColumn="1" w:lastColumn="0" w:noHBand="0" w:noVBand="1"/>
      </w:tblPr>
      <w:tblGrid>
        <w:gridCol w:w="5778"/>
        <w:gridCol w:w="1440"/>
        <w:gridCol w:w="1638"/>
      </w:tblGrid>
      <w:tr w:rsidR="00481431" w:rsidRPr="00A16353" w:rsidTr="006B566D">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778" w:type="dxa"/>
          </w:tcPr>
          <w:p w:rsidR="00481431" w:rsidRPr="00481431" w:rsidRDefault="00481431" w:rsidP="001A1A56">
            <w:pPr>
              <w:jc w:val="center"/>
              <w:rPr>
                <w:rFonts w:asciiTheme="minorHAnsi" w:hAnsiTheme="minorHAnsi"/>
                <w:b w:val="0"/>
                <w:sz w:val="16"/>
                <w:szCs w:val="16"/>
              </w:rPr>
            </w:pPr>
          </w:p>
        </w:tc>
        <w:tc>
          <w:tcPr>
            <w:tcW w:w="1440" w:type="dxa"/>
          </w:tcPr>
          <w:p w:rsidR="00481431" w:rsidRPr="008D70F0" w:rsidRDefault="002C5F55"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November </w:t>
            </w:r>
            <w:r w:rsidR="00481431" w:rsidRPr="008D70F0">
              <w:rPr>
                <w:rFonts w:asciiTheme="minorHAnsi" w:hAnsiTheme="minorHAnsi"/>
                <w:sz w:val="24"/>
                <w:szCs w:val="24"/>
              </w:rPr>
              <w:t>2012</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638" w:type="dxa"/>
          </w:tcPr>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r>
            <w:r w:rsidR="002C5F55">
              <w:rPr>
                <w:rFonts w:asciiTheme="minorHAnsi" w:hAnsiTheme="minorHAnsi"/>
                <w:sz w:val="24"/>
                <w:szCs w:val="24"/>
              </w:rPr>
              <w:t>September</w:t>
            </w:r>
            <w:r w:rsidRPr="008D70F0">
              <w:rPr>
                <w:rFonts w:asciiTheme="minorHAnsi" w:hAnsiTheme="minorHAnsi"/>
                <w:sz w:val="24"/>
                <w:szCs w:val="24"/>
              </w:rPr>
              <w:t xml:space="preserve"> </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2012</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Business conditions in the U.S. are </w:t>
            </w:r>
            <w:r w:rsidRPr="00481431">
              <w:rPr>
                <w:rFonts w:asciiTheme="minorHAnsi" w:hAnsiTheme="minorHAnsi"/>
                <w:sz w:val="16"/>
                <w:szCs w:val="16"/>
                <w:u w:val="single"/>
              </w:rPr>
              <w:t>Good</w:t>
            </w:r>
            <w:r w:rsidRPr="00481431">
              <w:rPr>
                <w:rFonts w:asciiTheme="minorHAnsi" w:hAnsiTheme="minorHAnsi"/>
                <w:sz w:val="16"/>
                <w:szCs w:val="16"/>
              </w:rPr>
              <w:t>.</w:t>
            </w:r>
          </w:p>
        </w:tc>
        <w:tc>
          <w:tcPr>
            <w:tcW w:w="1440" w:type="dxa"/>
            <w:vAlign w:val="center"/>
          </w:tcPr>
          <w:p w:rsidR="00481431" w:rsidRPr="00481431" w:rsidRDefault="002F176B"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14</w:t>
            </w:r>
          </w:p>
        </w:tc>
        <w:tc>
          <w:tcPr>
            <w:tcW w:w="1638" w:type="dxa"/>
            <w:vAlign w:val="center"/>
          </w:tcPr>
          <w:p w:rsidR="00481431" w:rsidRPr="00481431" w:rsidRDefault="002F176B" w:rsidP="002F17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B701A0">
              <w:rPr>
                <w:rFonts w:asciiTheme="minorHAnsi" w:hAnsiTheme="minorHAnsi"/>
                <w:b/>
                <w:noProof/>
                <w:color w:val="00B050"/>
                <w:sz w:val="24"/>
                <w:szCs w:val="24"/>
              </w:rPr>
              <mc:AlternateContent>
                <mc:Choice Requires="wps">
                  <w:drawing>
                    <wp:anchor distT="0" distB="0" distL="114300" distR="114300" simplePos="0" relativeHeight="251736576" behindDoc="0" locked="0" layoutInCell="1" allowOverlap="1" wp14:anchorId="58C3E2C1" wp14:editId="6DDEE113">
                      <wp:simplePos x="0" y="0"/>
                      <wp:positionH relativeFrom="column">
                        <wp:posOffset>299085</wp:posOffset>
                      </wp:positionH>
                      <wp:positionV relativeFrom="paragraph">
                        <wp:posOffset>-62230</wp:posOffset>
                      </wp:positionV>
                      <wp:extent cx="178435" cy="281305"/>
                      <wp:effectExtent l="0" t="0" r="0" b="4445"/>
                      <wp:wrapNone/>
                      <wp:docPr id="1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5" o:spid="_x0000_s1026" type="#_x0000_t68" style="position:absolute;margin-left:23.55pt;margin-top:-4.9pt;width:14.05pt;height:22.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" fillcolor="#00b050" stroked="f"/>
                  </w:pict>
                </mc:Fallback>
              </mc:AlternateContent>
            </w:r>
            <w:r>
              <w:rPr>
                <w:rFonts w:asciiTheme="minorHAnsi" w:hAnsiTheme="minorHAnsi"/>
                <w:b/>
                <w:sz w:val="24"/>
                <w:szCs w:val="24"/>
              </w:rPr>
              <w:t>3%</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business conditions in the U.S. will be </w:t>
            </w:r>
            <w:r w:rsidRPr="00481431">
              <w:rPr>
                <w:rFonts w:asciiTheme="minorHAnsi" w:hAnsiTheme="minorHAnsi"/>
                <w:sz w:val="16"/>
                <w:szCs w:val="16"/>
                <w:u w:val="single"/>
              </w:rPr>
              <w:t>Better</w:t>
            </w:r>
            <w:r w:rsidRPr="00481431">
              <w:rPr>
                <w:rFonts w:asciiTheme="minorHAnsi" w:hAnsiTheme="minorHAnsi"/>
                <w:sz w:val="16"/>
                <w:szCs w:val="16"/>
              </w:rPr>
              <w:t>.</w:t>
            </w:r>
          </w:p>
        </w:tc>
        <w:tc>
          <w:tcPr>
            <w:tcW w:w="1440" w:type="dxa"/>
            <w:vAlign w:val="center"/>
          </w:tcPr>
          <w:p w:rsidR="00481431" w:rsidRPr="00481431" w:rsidRDefault="002F176B"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35</w:t>
            </w:r>
          </w:p>
        </w:tc>
        <w:tc>
          <w:tcPr>
            <w:tcW w:w="1638" w:type="dxa"/>
            <w:vAlign w:val="center"/>
          </w:tcPr>
          <w:p w:rsidR="00481431" w:rsidRPr="00481431" w:rsidRDefault="002F176B" w:rsidP="002F176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No change</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Business conditions in Middle Tennessee are </w:t>
            </w:r>
            <w:r w:rsidRPr="00481431">
              <w:rPr>
                <w:rFonts w:asciiTheme="minorHAnsi" w:hAnsiTheme="minorHAnsi"/>
                <w:sz w:val="16"/>
                <w:szCs w:val="16"/>
                <w:u w:val="single"/>
              </w:rPr>
              <w:t>Good</w:t>
            </w:r>
            <w:r w:rsidRPr="00481431">
              <w:rPr>
                <w:rFonts w:asciiTheme="minorHAnsi" w:hAnsiTheme="minorHAnsi"/>
                <w:sz w:val="16"/>
                <w:szCs w:val="16"/>
              </w:rPr>
              <w:t>.</w:t>
            </w:r>
          </w:p>
        </w:tc>
        <w:tc>
          <w:tcPr>
            <w:tcW w:w="1440" w:type="dxa"/>
            <w:vAlign w:val="center"/>
          </w:tcPr>
          <w:p w:rsidR="00481431" w:rsidRPr="00481431" w:rsidRDefault="002F176B" w:rsidP="006C47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35</w:t>
            </w:r>
          </w:p>
        </w:tc>
        <w:tc>
          <w:tcPr>
            <w:tcW w:w="1638" w:type="dxa"/>
            <w:vAlign w:val="center"/>
          </w:tcPr>
          <w:p w:rsidR="00481431" w:rsidRPr="00481431" w:rsidRDefault="002F176B" w:rsidP="00370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38624" behindDoc="0" locked="0" layoutInCell="1" allowOverlap="1" wp14:anchorId="38FF748A" wp14:editId="3B2699B1">
                      <wp:simplePos x="0" y="0"/>
                      <wp:positionH relativeFrom="column">
                        <wp:posOffset>309245</wp:posOffset>
                      </wp:positionH>
                      <wp:positionV relativeFrom="paragraph">
                        <wp:posOffset>-11430</wp:posOffset>
                      </wp:positionV>
                      <wp:extent cx="190500" cy="281305"/>
                      <wp:effectExtent l="0" t="0" r="0" b="4445"/>
                      <wp:wrapNone/>
                      <wp:docPr id="1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4.35pt;margin-top:-.9pt;width:15pt;height:22.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" fillcolor="#c00000" stroked="f" strokecolor="#f2f2f2" strokeweight="3pt">
                      <v:fill color2="#730000" angle="90" focus="100%" type="gradient"/>
                      <v:shadow color="#622423" opacity=".5" offset="1pt"/>
                    </v:shape>
                  </w:pict>
                </mc:Fallback>
              </mc:AlternateContent>
            </w:r>
            <w:r w:rsidR="00370DCC">
              <w:rPr>
                <w:rFonts w:asciiTheme="minorHAnsi" w:hAnsiTheme="minorHAnsi"/>
                <w:b/>
                <w:sz w:val="24"/>
                <w:szCs w:val="24"/>
              </w:rPr>
              <w:t>5</w:t>
            </w:r>
            <w:r w:rsidR="00481431" w:rsidRPr="00481431">
              <w:rPr>
                <w:rFonts w:asciiTheme="minorHAnsi" w:hAnsiTheme="minorHAnsi"/>
                <w:b/>
                <w:sz w:val="24"/>
                <w:szCs w:val="24"/>
              </w:rPr>
              <w:t>%</w:t>
            </w:r>
          </w:p>
        </w:tc>
      </w:tr>
      <w:tr w:rsidR="00481431" w:rsidRPr="00A16353" w:rsidTr="006C4756">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business conditions in Middle Tennessee will be </w:t>
            </w:r>
            <w:r w:rsidRPr="00481431">
              <w:rPr>
                <w:rFonts w:asciiTheme="minorHAnsi" w:hAnsiTheme="minorHAnsi"/>
                <w:sz w:val="16"/>
                <w:szCs w:val="16"/>
                <w:u w:val="single"/>
              </w:rPr>
              <w:t>Better</w:t>
            </w:r>
            <w:r w:rsidRPr="00481431">
              <w:rPr>
                <w:rFonts w:asciiTheme="minorHAnsi" w:hAnsiTheme="minorHAnsi"/>
                <w:sz w:val="16"/>
                <w:szCs w:val="16"/>
              </w:rPr>
              <w:t>.</w:t>
            </w:r>
          </w:p>
        </w:tc>
        <w:tc>
          <w:tcPr>
            <w:tcW w:w="1440" w:type="dxa"/>
            <w:vAlign w:val="center"/>
          </w:tcPr>
          <w:p w:rsidR="00481431" w:rsidRPr="00481431" w:rsidRDefault="002F176B"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36</w:t>
            </w:r>
          </w:p>
        </w:tc>
        <w:tc>
          <w:tcPr>
            <w:tcW w:w="1638" w:type="dxa"/>
            <w:vAlign w:val="center"/>
          </w:tcPr>
          <w:p w:rsidR="00481431" w:rsidRPr="00481431" w:rsidRDefault="002F176B" w:rsidP="002F176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40672" behindDoc="0" locked="0" layoutInCell="1" allowOverlap="1" wp14:anchorId="5121F5A8" wp14:editId="1EDA1E34">
                      <wp:simplePos x="0" y="0"/>
                      <wp:positionH relativeFrom="column">
                        <wp:posOffset>329565</wp:posOffset>
                      </wp:positionH>
                      <wp:positionV relativeFrom="paragraph">
                        <wp:posOffset>-20955</wp:posOffset>
                      </wp:positionV>
                      <wp:extent cx="190500" cy="281305"/>
                      <wp:effectExtent l="0" t="0" r="0" b="444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5.95pt;margin-top:-1.65pt;width:15pt;height:22.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1%</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Jobs in Middle Tennessee are </w:t>
            </w:r>
            <w:r w:rsidRPr="00481431">
              <w:rPr>
                <w:rFonts w:asciiTheme="minorHAnsi" w:hAnsiTheme="minorHAnsi"/>
                <w:sz w:val="16"/>
                <w:szCs w:val="16"/>
                <w:u w:val="single"/>
              </w:rPr>
              <w:t>Easy To Find</w:t>
            </w:r>
            <w:r w:rsidRPr="00481431">
              <w:rPr>
                <w:rFonts w:asciiTheme="minorHAnsi" w:hAnsiTheme="minorHAnsi"/>
                <w:sz w:val="16"/>
                <w:szCs w:val="16"/>
              </w:rPr>
              <w:t>.</w:t>
            </w:r>
          </w:p>
        </w:tc>
        <w:tc>
          <w:tcPr>
            <w:tcW w:w="1440" w:type="dxa"/>
            <w:vAlign w:val="center"/>
          </w:tcPr>
          <w:p w:rsidR="00481431" w:rsidRPr="00481431" w:rsidRDefault="002F176B"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7</w:t>
            </w:r>
          </w:p>
        </w:tc>
        <w:tc>
          <w:tcPr>
            <w:tcW w:w="1638" w:type="dxa"/>
            <w:vAlign w:val="center"/>
          </w:tcPr>
          <w:p w:rsidR="00481431" w:rsidRPr="00481431" w:rsidRDefault="002F176B" w:rsidP="002F17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42720" behindDoc="0" locked="0" layoutInCell="1" allowOverlap="1" wp14:anchorId="65785F6C" wp14:editId="55F19A3C">
                      <wp:simplePos x="0" y="0"/>
                      <wp:positionH relativeFrom="column">
                        <wp:posOffset>343535</wp:posOffset>
                      </wp:positionH>
                      <wp:positionV relativeFrom="paragraph">
                        <wp:posOffset>-56515</wp:posOffset>
                      </wp:positionV>
                      <wp:extent cx="178435" cy="281305"/>
                      <wp:effectExtent l="0" t="0" r="0" b="4445"/>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7.05pt;margin-top:-4.45pt;width:14.05pt;height:22.1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42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" fillcolor="#00b050" stroked="f"/>
                  </w:pict>
                </mc:Fallback>
              </mc:AlternateContent>
            </w:r>
            <w:r>
              <w:rPr>
                <w:rFonts w:asciiTheme="minorHAnsi" w:hAnsiTheme="minorHAnsi"/>
                <w:b/>
                <w:sz w:val="24"/>
                <w:szCs w:val="24"/>
              </w:rPr>
              <w:t>3</w:t>
            </w:r>
            <w:r w:rsidR="006C4756">
              <w:rPr>
                <w:rFonts w:asciiTheme="minorHAnsi" w:hAnsiTheme="minorHAnsi"/>
                <w:b/>
                <w:sz w:val="24"/>
                <w:szCs w:val="24"/>
              </w:rPr>
              <w:t>%</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there will be </w:t>
            </w:r>
            <w:r w:rsidRPr="00481431">
              <w:rPr>
                <w:rFonts w:asciiTheme="minorHAnsi" w:hAnsiTheme="minorHAnsi"/>
                <w:sz w:val="16"/>
                <w:szCs w:val="16"/>
                <w:u w:val="single"/>
              </w:rPr>
              <w:t>More Job Openings</w:t>
            </w:r>
            <w:r w:rsidRPr="00481431">
              <w:rPr>
                <w:rFonts w:asciiTheme="minorHAnsi" w:hAnsiTheme="minorHAnsi"/>
                <w:sz w:val="16"/>
                <w:szCs w:val="16"/>
              </w:rPr>
              <w:t xml:space="preserve"> in Middle Tennessee</w:t>
            </w:r>
          </w:p>
        </w:tc>
        <w:tc>
          <w:tcPr>
            <w:tcW w:w="1440" w:type="dxa"/>
            <w:vAlign w:val="center"/>
          </w:tcPr>
          <w:p w:rsidR="00481431" w:rsidRPr="00481431" w:rsidRDefault="002F176B"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33</w:t>
            </w:r>
          </w:p>
        </w:tc>
        <w:tc>
          <w:tcPr>
            <w:tcW w:w="1638" w:type="dxa"/>
            <w:vAlign w:val="center"/>
          </w:tcPr>
          <w:p w:rsidR="00481431" w:rsidRPr="00481431" w:rsidRDefault="006C4756"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28384" behindDoc="0" locked="0" layoutInCell="1" allowOverlap="1" wp14:anchorId="0B891EED" wp14:editId="2674237F">
                      <wp:simplePos x="0" y="0"/>
                      <wp:positionH relativeFrom="column">
                        <wp:posOffset>318135</wp:posOffset>
                      </wp:positionH>
                      <wp:positionV relativeFrom="paragraph">
                        <wp:posOffset>109220</wp:posOffset>
                      </wp:positionV>
                      <wp:extent cx="190500" cy="281305"/>
                      <wp:effectExtent l="0" t="0" r="0" b="4445"/>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5.05pt;margin-top:8.6pt;width:15pt;height:22.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" fillcolor="#c00000" stroked="f" strokecolor="#f2f2f2" strokeweight="3pt">
                      <v:fill color2="#730000" angle="90" focus="100%" type="gradient"/>
                      <v:shadow color="#622423" opacity=".5" offset="1pt"/>
                    </v:shape>
                  </w:pict>
                </mc:Fallback>
              </mc:AlternateConten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 xml:space="preserve">  </w:t>
            </w:r>
            <w:r w:rsidR="002F176B">
              <w:rPr>
                <w:rFonts w:asciiTheme="minorHAnsi" w:hAnsiTheme="minorHAnsi"/>
                <w:b/>
                <w:sz w:val="24"/>
                <w:szCs w:val="24"/>
              </w:rPr>
              <w:t>3</w:t>
            </w:r>
            <w:r w:rsidRPr="00481431">
              <w:rPr>
                <w:rFonts w:asciiTheme="minorHAnsi" w:hAnsiTheme="minorHAnsi"/>
                <w:b/>
                <w:sz w:val="24"/>
                <w:szCs w:val="24"/>
              </w:rPr>
              <w:t>%</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I am </w:t>
            </w:r>
            <w:r w:rsidRPr="00481431">
              <w:rPr>
                <w:rFonts w:asciiTheme="minorHAnsi" w:hAnsiTheme="minorHAnsi"/>
                <w:sz w:val="16"/>
                <w:szCs w:val="16"/>
                <w:u w:val="single"/>
              </w:rPr>
              <w:t>Better Off Financially</w:t>
            </w:r>
            <w:r w:rsidRPr="00481431">
              <w:rPr>
                <w:rFonts w:asciiTheme="minorHAnsi" w:hAnsiTheme="minorHAnsi"/>
                <w:sz w:val="16"/>
                <w:szCs w:val="16"/>
              </w:rPr>
              <w:t xml:space="preserve"> than I was one year ago.</w:t>
            </w:r>
          </w:p>
        </w:tc>
        <w:tc>
          <w:tcPr>
            <w:tcW w:w="1440" w:type="dxa"/>
            <w:vAlign w:val="center"/>
          </w:tcPr>
          <w:p w:rsidR="00481431" w:rsidRPr="00481431" w:rsidRDefault="002F176B"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18</w:t>
            </w:r>
          </w:p>
        </w:tc>
        <w:tc>
          <w:tcPr>
            <w:tcW w:w="1638" w:type="dxa"/>
            <w:vAlign w:val="center"/>
          </w:tcPr>
          <w:p w:rsidR="00481431" w:rsidRPr="00481431" w:rsidRDefault="002F176B" w:rsidP="002F17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44768" behindDoc="0" locked="0" layoutInCell="1" allowOverlap="1" wp14:anchorId="62D07C25" wp14:editId="7337746D">
                      <wp:simplePos x="0" y="0"/>
                      <wp:positionH relativeFrom="column">
                        <wp:posOffset>323215</wp:posOffset>
                      </wp:positionH>
                      <wp:positionV relativeFrom="paragraph">
                        <wp:posOffset>-55245</wp:posOffset>
                      </wp:positionV>
                      <wp:extent cx="190500" cy="281305"/>
                      <wp:effectExtent l="0" t="0" r="0" b="4445"/>
                      <wp:wrapNone/>
                      <wp:docPr id="2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5.45pt;margin-top:-4.35pt;width:15pt;height:22.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510bw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1%</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12 months from now I will be </w:t>
            </w:r>
            <w:r w:rsidRPr="00481431">
              <w:rPr>
                <w:rFonts w:asciiTheme="minorHAnsi" w:hAnsiTheme="minorHAnsi"/>
                <w:sz w:val="16"/>
                <w:szCs w:val="16"/>
                <w:u w:val="single"/>
              </w:rPr>
              <w:t>Better Off Financially</w:t>
            </w:r>
            <w:r w:rsidRPr="00481431">
              <w:rPr>
                <w:rFonts w:asciiTheme="minorHAnsi" w:hAnsiTheme="minorHAnsi"/>
                <w:sz w:val="16"/>
                <w:szCs w:val="16"/>
              </w:rPr>
              <w:t xml:space="preserve"> than I am today.</w:t>
            </w:r>
          </w:p>
        </w:tc>
        <w:tc>
          <w:tcPr>
            <w:tcW w:w="1440" w:type="dxa"/>
            <w:vAlign w:val="center"/>
          </w:tcPr>
          <w:p w:rsidR="00481431" w:rsidRPr="00481431" w:rsidRDefault="002F176B"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31</w:t>
            </w:r>
          </w:p>
        </w:tc>
        <w:tc>
          <w:tcPr>
            <w:tcW w:w="1638" w:type="dxa"/>
            <w:vAlign w:val="center"/>
          </w:tcPr>
          <w:p w:rsidR="00481431" w:rsidRPr="00481431" w:rsidRDefault="006C4756" w:rsidP="007A3F43">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30432" behindDoc="0" locked="0" layoutInCell="1" allowOverlap="1" wp14:anchorId="2DCD99B0" wp14:editId="438DAEB5">
                      <wp:simplePos x="0" y="0"/>
                      <wp:positionH relativeFrom="column">
                        <wp:posOffset>318770</wp:posOffset>
                      </wp:positionH>
                      <wp:positionV relativeFrom="paragraph">
                        <wp:posOffset>-86360</wp:posOffset>
                      </wp:positionV>
                      <wp:extent cx="190500" cy="281305"/>
                      <wp:effectExtent l="0" t="0" r="0" b="4445"/>
                      <wp:wrapNone/>
                      <wp:docPr id="1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5.1pt;margin-top:-6.8pt;width:15pt;height:22.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Fbg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" fillcolor="#c00000" stroked="f" strokecolor="#f2f2f2" strokeweight="3pt">
                      <v:fill color2="#730000" angle="90" focus="100%" type="gradient"/>
                      <v:shadow color="#622423" opacity=".5" offset="1pt"/>
                    </v:shape>
                  </w:pict>
                </mc:Fallback>
              </mc:AlternateContent>
            </w:r>
            <w:r w:rsidR="007A3F43">
              <w:rPr>
                <w:rFonts w:asciiTheme="minorHAnsi" w:hAnsiTheme="minorHAnsi"/>
                <w:b/>
                <w:sz w:val="24"/>
                <w:szCs w:val="24"/>
              </w:rPr>
              <w:t>10</w:t>
            </w:r>
            <w:r w:rsidR="00481431" w:rsidRPr="00481431">
              <w:rPr>
                <w:rFonts w:asciiTheme="minorHAnsi" w:hAnsiTheme="minorHAnsi"/>
                <w:b/>
                <w:sz w:val="24"/>
                <w:szCs w:val="24"/>
              </w:rPr>
              <w:t>%</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Make Large Purchases</w:t>
            </w:r>
            <w:r w:rsidRPr="00481431">
              <w:rPr>
                <w:rFonts w:asciiTheme="minorHAnsi" w:hAnsiTheme="minorHAnsi"/>
                <w:sz w:val="16"/>
                <w:szCs w:val="16"/>
              </w:rPr>
              <w:t>.</w:t>
            </w:r>
          </w:p>
        </w:tc>
        <w:tc>
          <w:tcPr>
            <w:tcW w:w="1440" w:type="dxa"/>
            <w:vAlign w:val="center"/>
          </w:tcPr>
          <w:p w:rsidR="00481431" w:rsidRPr="00481431" w:rsidRDefault="002F176B"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31</w:t>
            </w:r>
          </w:p>
        </w:tc>
        <w:tc>
          <w:tcPr>
            <w:tcW w:w="1638" w:type="dxa"/>
            <w:vAlign w:val="center"/>
          </w:tcPr>
          <w:p w:rsidR="00481431" w:rsidRPr="00481431" w:rsidRDefault="007A3F43" w:rsidP="007A3F4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46816" behindDoc="0" locked="0" layoutInCell="1" allowOverlap="1" wp14:anchorId="62D07C25" wp14:editId="7337746D">
                      <wp:simplePos x="0" y="0"/>
                      <wp:positionH relativeFrom="column">
                        <wp:posOffset>333375</wp:posOffset>
                      </wp:positionH>
                      <wp:positionV relativeFrom="paragraph">
                        <wp:posOffset>-44450</wp:posOffset>
                      </wp:positionV>
                      <wp:extent cx="190500" cy="281305"/>
                      <wp:effectExtent l="0" t="0" r="0" b="4445"/>
                      <wp:wrapNone/>
                      <wp:docPr id="2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6.25pt;margin-top:-3.5pt;width:15pt;height:22.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2</w:t>
            </w:r>
            <w:r w:rsidR="006C4756">
              <w:rPr>
                <w:rFonts w:asciiTheme="minorHAnsi" w:hAnsiTheme="minorHAnsi"/>
                <w:b/>
                <w:sz w:val="24"/>
                <w:szCs w:val="24"/>
              </w:rPr>
              <w:t>%</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Buy A Home</w:t>
            </w:r>
            <w:r w:rsidRPr="00481431">
              <w:rPr>
                <w:rFonts w:asciiTheme="minorHAnsi" w:hAnsiTheme="minorHAnsi"/>
                <w:sz w:val="16"/>
                <w:szCs w:val="16"/>
              </w:rPr>
              <w:t>.</w:t>
            </w:r>
          </w:p>
        </w:tc>
        <w:tc>
          <w:tcPr>
            <w:tcW w:w="1440" w:type="dxa"/>
            <w:vAlign w:val="center"/>
          </w:tcPr>
          <w:p w:rsidR="00481431" w:rsidRPr="00481431" w:rsidRDefault="002F176B"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62</w:t>
            </w:r>
          </w:p>
        </w:tc>
        <w:tc>
          <w:tcPr>
            <w:tcW w:w="1638" w:type="dxa"/>
            <w:vAlign w:val="center"/>
          </w:tcPr>
          <w:p w:rsidR="00481431" w:rsidRPr="00481431" w:rsidRDefault="006C4756" w:rsidP="007A3F43">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34528" behindDoc="0" locked="0" layoutInCell="1" allowOverlap="1" wp14:anchorId="7EAF7AD5" wp14:editId="2D0847C6">
                      <wp:simplePos x="0" y="0"/>
                      <wp:positionH relativeFrom="column">
                        <wp:posOffset>343535</wp:posOffset>
                      </wp:positionH>
                      <wp:positionV relativeFrom="paragraph">
                        <wp:posOffset>-69215</wp:posOffset>
                      </wp:positionV>
                      <wp:extent cx="190500" cy="281305"/>
                      <wp:effectExtent l="0" t="0" r="0" b="4445"/>
                      <wp:wrapNone/>
                      <wp:docPr id="1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7.05pt;margin-top:-5.45pt;width:15pt;height:22.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" fillcolor="#c00000" stroked="f" strokecolor="#f2f2f2" strokeweight="3pt">
                      <v:fill color2="#730000" angle="90" focus="100%" type="gradient"/>
                      <v:shadow color="#622423" opacity=".5" offset="1pt"/>
                    </v:shape>
                  </w:pict>
                </mc:Fallback>
              </mc:AlternateContent>
            </w:r>
            <w:r w:rsidR="007A3F43">
              <w:rPr>
                <w:rFonts w:asciiTheme="minorHAnsi" w:hAnsiTheme="minorHAnsi"/>
                <w:b/>
                <w:sz w:val="24"/>
                <w:szCs w:val="24"/>
              </w:rPr>
              <w:t>7</w:t>
            </w:r>
            <w:r w:rsidR="00481431" w:rsidRPr="00481431">
              <w:rPr>
                <w:rFonts w:asciiTheme="minorHAnsi" w:hAnsiTheme="minorHAnsi"/>
                <w:b/>
                <w:sz w:val="24"/>
                <w:szCs w:val="24"/>
              </w:rPr>
              <w:t>%</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Buy A Car</w:t>
            </w:r>
            <w:r w:rsidRPr="00481431">
              <w:rPr>
                <w:rFonts w:asciiTheme="minorHAnsi" w:hAnsiTheme="minorHAnsi"/>
                <w:sz w:val="16"/>
                <w:szCs w:val="16"/>
              </w:rPr>
              <w:t>.</w:t>
            </w:r>
          </w:p>
        </w:tc>
        <w:tc>
          <w:tcPr>
            <w:tcW w:w="1440" w:type="dxa"/>
            <w:vAlign w:val="center"/>
          </w:tcPr>
          <w:p w:rsidR="00481431" w:rsidRPr="00481431" w:rsidRDefault="002F176B"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37</w:t>
            </w:r>
          </w:p>
        </w:tc>
        <w:tc>
          <w:tcPr>
            <w:tcW w:w="1638" w:type="dxa"/>
            <w:vAlign w:val="center"/>
          </w:tcPr>
          <w:p w:rsidR="00481431" w:rsidRPr="00481431" w:rsidRDefault="007A3F43" w:rsidP="007A3F4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48864" behindDoc="0" locked="0" layoutInCell="1" allowOverlap="1" wp14:anchorId="62D07C25" wp14:editId="7337746D">
                      <wp:simplePos x="0" y="0"/>
                      <wp:positionH relativeFrom="column">
                        <wp:posOffset>333375</wp:posOffset>
                      </wp:positionH>
                      <wp:positionV relativeFrom="paragraph">
                        <wp:posOffset>-74930</wp:posOffset>
                      </wp:positionV>
                      <wp:extent cx="190500" cy="281305"/>
                      <wp:effectExtent l="0" t="0" r="0" b="4445"/>
                      <wp:wrapNone/>
                      <wp:docPr id="2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6.25pt;margin-top:-5.9pt;width:15pt;height:22.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" fillcolor="#c00000" stroked="f" strokecolor="#f2f2f2" strokeweight="3pt">
                      <v:fill color2="#730000" angle="90" focus="100%" type="gradient"/>
                      <v:shadow color="#622423" opacity=".5" offset="1pt"/>
                    </v:shape>
                  </w:pict>
                </mc:Fallback>
              </mc:AlternateContent>
            </w:r>
            <w:r w:rsidR="006C4756">
              <w:rPr>
                <w:rFonts w:asciiTheme="minorHAnsi" w:hAnsiTheme="minorHAnsi"/>
                <w:b/>
                <w:sz w:val="24"/>
                <w:szCs w:val="24"/>
              </w:rPr>
              <w:t>1</w:t>
            </w:r>
            <w:r>
              <w:rPr>
                <w:rFonts w:asciiTheme="minorHAnsi" w:hAnsiTheme="minorHAnsi"/>
                <w:b/>
                <w:sz w:val="24"/>
                <w:szCs w:val="24"/>
              </w:rPr>
              <w:t>1</w:t>
            </w:r>
            <w:r w:rsidR="00481431" w:rsidRPr="00481431">
              <w:rPr>
                <w:rFonts w:asciiTheme="minorHAnsi" w:hAnsiTheme="minorHAnsi"/>
                <w:b/>
                <w:sz w:val="24"/>
                <w:szCs w:val="24"/>
              </w:rPr>
              <w:t>%</w:t>
            </w:r>
          </w:p>
        </w:tc>
      </w:tr>
    </w:tbl>
    <w:p w:rsidR="00481431" w:rsidRPr="00A16353" w:rsidRDefault="00481431" w:rsidP="00481431">
      <w:pPr>
        <w:rPr>
          <w:rFonts w:asciiTheme="minorHAnsi" w:hAnsiTheme="minorHAnsi"/>
          <w:bCs/>
          <w:sz w:val="24"/>
        </w:rPr>
      </w:pPr>
    </w:p>
    <w:p w:rsidR="00546A3A" w:rsidRDefault="00481431" w:rsidP="00546A3A">
      <w:pPr>
        <w:pStyle w:val="BodyText"/>
        <w:jc w:val="both"/>
        <w:rPr>
          <w:rFonts w:asciiTheme="minorHAnsi" w:hAnsiTheme="minorHAnsi"/>
          <w:b/>
          <w:bCs/>
          <w:u w:val="single"/>
        </w:rPr>
      </w:pPr>
      <w:r>
        <w:rPr>
          <w:rFonts w:asciiTheme="minorHAnsi" w:hAnsiTheme="minorHAnsi"/>
          <w:bCs/>
        </w:rPr>
        <w:br w:type="column"/>
      </w:r>
    </w:p>
    <w:tbl>
      <w:tblPr>
        <w:tblStyle w:val="TableClassic3"/>
        <w:tblW w:w="9740" w:type="dxa"/>
        <w:tblLook w:val="04A0" w:firstRow="1" w:lastRow="0" w:firstColumn="1" w:lastColumn="0" w:noHBand="0" w:noVBand="1"/>
      </w:tblPr>
      <w:tblGrid>
        <w:gridCol w:w="1960"/>
        <w:gridCol w:w="1140"/>
        <w:gridCol w:w="563"/>
        <w:gridCol w:w="540"/>
        <w:gridCol w:w="580"/>
        <w:gridCol w:w="600"/>
        <w:gridCol w:w="620"/>
        <w:gridCol w:w="580"/>
        <w:gridCol w:w="580"/>
        <w:gridCol w:w="580"/>
        <w:gridCol w:w="640"/>
        <w:gridCol w:w="640"/>
        <w:gridCol w:w="760"/>
      </w:tblGrid>
      <w:tr w:rsidR="00546A3A" w:rsidRPr="00546A3A" w:rsidTr="00546A3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rsidR="00546A3A" w:rsidRPr="00F736A9" w:rsidRDefault="00546A3A" w:rsidP="00546A3A">
            <w:pPr>
              <w:jc w:val="center"/>
              <w:rPr>
                <w:rFonts w:ascii="Arial" w:hAnsi="Arial" w:cs="Arial"/>
                <w:sz w:val="18"/>
                <w:szCs w:val="18"/>
              </w:rPr>
            </w:pPr>
            <w:r w:rsidRPr="00F736A9">
              <w:rPr>
                <w:rFonts w:ascii="Arial" w:hAnsi="Arial" w:cs="Arial"/>
                <w:sz w:val="18"/>
                <w:szCs w:val="18"/>
              </w:rPr>
              <w:t>Consumer Outlook</w:t>
            </w:r>
          </w:p>
        </w:tc>
        <w:tc>
          <w:tcPr>
            <w:tcW w:w="1140" w:type="dxa"/>
            <w:noWrap/>
            <w:hideMark/>
          </w:tcPr>
          <w:p w:rsidR="00546A3A" w:rsidRPr="00546A3A" w:rsidRDefault="00546A3A" w:rsidP="007C47F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 xml:space="preserve"> </w:t>
            </w:r>
          </w:p>
        </w:tc>
        <w:tc>
          <w:tcPr>
            <w:tcW w:w="520" w:type="dxa"/>
            <w:noWrap/>
            <w:hideMark/>
          </w:tcPr>
          <w:p w:rsidR="00546A3A" w:rsidRPr="00546A3A" w:rsidRDefault="00546A3A" w:rsidP="007C47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540" w:type="dxa"/>
            <w:noWrap/>
            <w:hideMark/>
          </w:tcPr>
          <w:p w:rsidR="00546A3A" w:rsidRPr="00546A3A" w:rsidRDefault="00546A3A" w:rsidP="007C47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Dec</w:t>
            </w:r>
          </w:p>
        </w:tc>
        <w:tc>
          <w:tcPr>
            <w:tcW w:w="580" w:type="dxa"/>
            <w:noWrap/>
            <w:hideMark/>
          </w:tcPr>
          <w:p w:rsidR="00546A3A" w:rsidRPr="00546A3A" w:rsidRDefault="00546A3A" w:rsidP="007C47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Feb</w:t>
            </w:r>
          </w:p>
        </w:tc>
        <w:tc>
          <w:tcPr>
            <w:tcW w:w="600" w:type="dxa"/>
            <w:noWrap/>
            <w:hideMark/>
          </w:tcPr>
          <w:p w:rsidR="00546A3A" w:rsidRPr="00546A3A" w:rsidRDefault="00546A3A" w:rsidP="007C47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Apr</w:t>
            </w:r>
          </w:p>
        </w:tc>
        <w:tc>
          <w:tcPr>
            <w:tcW w:w="620" w:type="dxa"/>
            <w:noWrap/>
            <w:hideMark/>
          </w:tcPr>
          <w:p w:rsidR="00546A3A" w:rsidRPr="00546A3A" w:rsidRDefault="00546A3A" w:rsidP="007C47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May</w:t>
            </w:r>
          </w:p>
        </w:tc>
        <w:tc>
          <w:tcPr>
            <w:tcW w:w="580" w:type="dxa"/>
            <w:noWrap/>
            <w:hideMark/>
          </w:tcPr>
          <w:p w:rsidR="00546A3A" w:rsidRPr="00546A3A" w:rsidRDefault="00546A3A" w:rsidP="007C47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580" w:type="dxa"/>
            <w:noWrap/>
            <w:hideMark/>
          </w:tcPr>
          <w:p w:rsidR="00546A3A" w:rsidRPr="00546A3A" w:rsidRDefault="00546A3A" w:rsidP="007C47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Dec</w:t>
            </w:r>
          </w:p>
        </w:tc>
        <w:tc>
          <w:tcPr>
            <w:tcW w:w="580" w:type="dxa"/>
            <w:noWrap/>
            <w:hideMark/>
          </w:tcPr>
          <w:p w:rsidR="00546A3A" w:rsidRPr="00546A3A" w:rsidRDefault="00546A3A" w:rsidP="007C47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Jan</w:t>
            </w:r>
          </w:p>
        </w:tc>
        <w:tc>
          <w:tcPr>
            <w:tcW w:w="640" w:type="dxa"/>
            <w:noWrap/>
            <w:hideMark/>
          </w:tcPr>
          <w:p w:rsidR="00546A3A" w:rsidRPr="00546A3A" w:rsidRDefault="00546A3A" w:rsidP="007C47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Apr</w:t>
            </w:r>
          </w:p>
        </w:tc>
        <w:tc>
          <w:tcPr>
            <w:tcW w:w="640" w:type="dxa"/>
            <w:noWrap/>
            <w:hideMark/>
          </w:tcPr>
          <w:p w:rsidR="00546A3A" w:rsidRPr="00546A3A" w:rsidRDefault="00546A3A" w:rsidP="007C47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760" w:type="dxa"/>
            <w:noWrap/>
            <w:hideMark/>
          </w:tcPr>
          <w:p w:rsidR="00546A3A" w:rsidRPr="00BC5968" w:rsidRDefault="00546A3A" w:rsidP="007C47F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C5968">
              <w:rPr>
                <w:rFonts w:ascii="Arial" w:hAnsi="Arial" w:cs="Arial"/>
                <w:bCs w:val="0"/>
              </w:rPr>
              <w:t>Nov</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vAlign w:val="bottom"/>
            <w:hideMark/>
          </w:tcPr>
          <w:p w:rsidR="00546A3A" w:rsidRPr="00F736A9" w:rsidRDefault="00546A3A" w:rsidP="00546A3A">
            <w:pPr>
              <w:jc w:val="center"/>
              <w:rPr>
                <w:rFonts w:ascii="Arial" w:hAnsi="Arial" w:cs="Arial"/>
                <w:sz w:val="18"/>
                <w:szCs w:val="18"/>
              </w:rPr>
            </w:pPr>
            <w:r w:rsidRPr="00F736A9">
              <w:rPr>
                <w:rFonts w:ascii="Arial" w:hAnsi="Arial" w:cs="Arial"/>
                <w:sz w:val="18"/>
                <w:szCs w:val="18"/>
              </w:rPr>
              <w:t>Recent Results:</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0" w:type="dxa"/>
            <w:tcBorders>
              <w:bottom w:val="nil"/>
            </w:tcBorders>
            <w:shd w:val="clear" w:color="auto" w:fill="EEECE1" w:themeFill="background2"/>
            <w:noWrap/>
            <w:hideMark/>
          </w:tcPr>
          <w:p w:rsidR="00546A3A" w:rsidRPr="00DA5B64" w:rsidRDefault="000145A3"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46A3A" w:rsidRPr="00DA5B64">
              <w:rPr>
                <w:rFonts w:ascii="Arial" w:hAnsi="Arial" w:cs="Arial"/>
              </w:rPr>
              <w:t>10</w:t>
            </w:r>
          </w:p>
        </w:tc>
        <w:tc>
          <w:tcPr>
            <w:tcW w:w="540" w:type="dxa"/>
            <w:tcBorders>
              <w:bottom w:val="nil"/>
            </w:tcBorders>
            <w:shd w:val="clear" w:color="auto" w:fill="EEECE1" w:themeFill="background2"/>
            <w:noWrap/>
            <w:hideMark/>
          </w:tcPr>
          <w:p w:rsidR="00546A3A" w:rsidRPr="00DA5B64" w:rsidRDefault="000145A3"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46A3A" w:rsidRPr="00DA5B64">
              <w:rPr>
                <w:rFonts w:ascii="Arial" w:hAnsi="Arial" w:cs="Arial"/>
              </w:rPr>
              <w:t>10</w:t>
            </w:r>
          </w:p>
        </w:tc>
        <w:tc>
          <w:tcPr>
            <w:tcW w:w="580" w:type="dxa"/>
            <w:tcBorders>
              <w:bottom w:val="nil"/>
            </w:tcBorders>
            <w:shd w:val="clear" w:color="auto" w:fill="EEECE1" w:themeFill="background2"/>
            <w:noWrap/>
            <w:hideMark/>
          </w:tcPr>
          <w:p w:rsidR="00546A3A" w:rsidRPr="00DA5B64" w:rsidRDefault="000145A3"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46A3A" w:rsidRPr="00DA5B64">
              <w:rPr>
                <w:rFonts w:ascii="Arial" w:hAnsi="Arial" w:cs="Arial"/>
              </w:rPr>
              <w:t>11</w:t>
            </w:r>
          </w:p>
        </w:tc>
        <w:tc>
          <w:tcPr>
            <w:tcW w:w="600" w:type="dxa"/>
            <w:tcBorders>
              <w:bottom w:val="nil"/>
            </w:tcBorders>
            <w:shd w:val="clear" w:color="auto" w:fill="EEECE1" w:themeFill="background2"/>
            <w:noWrap/>
            <w:hideMark/>
          </w:tcPr>
          <w:p w:rsidR="00546A3A" w:rsidRPr="00DA5B64" w:rsidRDefault="000145A3"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46A3A" w:rsidRPr="00DA5B64">
              <w:rPr>
                <w:rFonts w:ascii="Arial" w:hAnsi="Arial" w:cs="Arial"/>
              </w:rPr>
              <w:t>11</w:t>
            </w:r>
          </w:p>
        </w:tc>
        <w:tc>
          <w:tcPr>
            <w:tcW w:w="620" w:type="dxa"/>
            <w:tcBorders>
              <w:bottom w:val="nil"/>
            </w:tcBorders>
            <w:shd w:val="clear" w:color="auto" w:fill="EEECE1" w:themeFill="background2"/>
            <w:noWrap/>
            <w:hideMark/>
          </w:tcPr>
          <w:p w:rsidR="00546A3A" w:rsidRPr="00DA5B64" w:rsidRDefault="000145A3"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46A3A" w:rsidRPr="00DA5B64">
              <w:rPr>
                <w:rFonts w:ascii="Arial" w:hAnsi="Arial" w:cs="Arial"/>
              </w:rPr>
              <w:t>11</w:t>
            </w:r>
          </w:p>
        </w:tc>
        <w:tc>
          <w:tcPr>
            <w:tcW w:w="580" w:type="dxa"/>
            <w:tcBorders>
              <w:bottom w:val="nil"/>
            </w:tcBorders>
            <w:shd w:val="clear" w:color="auto" w:fill="EEECE1" w:themeFill="background2"/>
            <w:noWrap/>
            <w:hideMark/>
          </w:tcPr>
          <w:p w:rsidR="00546A3A" w:rsidRPr="00DA5B64" w:rsidRDefault="000145A3"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46A3A" w:rsidRPr="00DA5B64">
              <w:rPr>
                <w:rFonts w:ascii="Arial" w:hAnsi="Arial" w:cs="Arial"/>
              </w:rPr>
              <w:t>11</w:t>
            </w:r>
          </w:p>
        </w:tc>
        <w:tc>
          <w:tcPr>
            <w:tcW w:w="580" w:type="dxa"/>
            <w:tcBorders>
              <w:bottom w:val="nil"/>
            </w:tcBorders>
            <w:shd w:val="clear" w:color="auto" w:fill="EEECE1" w:themeFill="background2"/>
            <w:noWrap/>
            <w:hideMark/>
          </w:tcPr>
          <w:p w:rsidR="00546A3A" w:rsidRPr="00DA5B64" w:rsidRDefault="000145A3"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46A3A" w:rsidRPr="00DA5B64">
              <w:rPr>
                <w:rFonts w:ascii="Arial" w:hAnsi="Arial" w:cs="Arial"/>
              </w:rPr>
              <w:t>11</w:t>
            </w:r>
          </w:p>
        </w:tc>
        <w:tc>
          <w:tcPr>
            <w:tcW w:w="580" w:type="dxa"/>
            <w:tcBorders>
              <w:bottom w:val="nil"/>
            </w:tcBorders>
            <w:shd w:val="clear" w:color="auto" w:fill="EEECE1" w:themeFill="background2"/>
            <w:noWrap/>
            <w:hideMark/>
          </w:tcPr>
          <w:p w:rsidR="00546A3A" w:rsidRPr="00DA5B64" w:rsidRDefault="000145A3"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46A3A" w:rsidRPr="00DA5B64">
              <w:rPr>
                <w:rFonts w:ascii="Arial" w:hAnsi="Arial" w:cs="Arial"/>
              </w:rPr>
              <w:t>12</w:t>
            </w:r>
          </w:p>
        </w:tc>
        <w:tc>
          <w:tcPr>
            <w:tcW w:w="640" w:type="dxa"/>
            <w:tcBorders>
              <w:bottom w:val="nil"/>
            </w:tcBorders>
            <w:shd w:val="clear" w:color="auto" w:fill="EEECE1" w:themeFill="background2"/>
            <w:noWrap/>
            <w:hideMark/>
          </w:tcPr>
          <w:p w:rsidR="00546A3A" w:rsidRPr="00DA5B64" w:rsidRDefault="000145A3"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46A3A" w:rsidRPr="00DA5B64">
              <w:rPr>
                <w:rFonts w:ascii="Arial" w:hAnsi="Arial" w:cs="Arial"/>
              </w:rPr>
              <w:t>12</w:t>
            </w:r>
          </w:p>
        </w:tc>
        <w:tc>
          <w:tcPr>
            <w:tcW w:w="640" w:type="dxa"/>
            <w:tcBorders>
              <w:bottom w:val="nil"/>
            </w:tcBorders>
            <w:shd w:val="clear" w:color="auto" w:fill="EEECE1" w:themeFill="background2"/>
            <w:noWrap/>
            <w:hideMark/>
          </w:tcPr>
          <w:p w:rsidR="00546A3A" w:rsidRPr="00DA5B64" w:rsidRDefault="000145A3"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46A3A" w:rsidRPr="00DA5B64">
              <w:rPr>
                <w:rFonts w:ascii="Arial" w:hAnsi="Arial" w:cs="Arial"/>
              </w:rPr>
              <w:t>12</w:t>
            </w:r>
          </w:p>
        </w:tc>
        <w:tc>
          <w:tcPr>
            <w:tcW w:w="760" w:type="dxa"/>
            <w:tcBorders>
              <w:bottom w:val="nil"/>
            </w:tcBorders>
            <w:shd w:val="clear" w:color="auto" w:fill="EEECE1" w:themeFill="background2"/>
            <w:noWrap/>
            <w:hideMark/>
          </w:tcPr>
          <w:p w:rsidR="00546A3A" w:rsidRPr="00DA5B64" w:rsidRDefault="000145A3"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w:t>
            </w:r>
            <w:r w:rsidR="00546A3A" w:rsidRPr="00DA5B64">
              <w:rPr>
                <w:rFonts w:ascii="Arial" w:hAnsi="Arial" w:cs="Arial"/>
                <w:b/>
                <w:bCs/>
              </w:rPr>
              <w:t>12</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 </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 </w:t>
            </w:r>
          </w:p>
        </w:tc>
        <w:tc>
          <w:tcPr>
            <w:tcW w:w="520" w:type="dxa"/>
            <w:tcBorders>
              <w:top w:val="nil"/>
              <w:bottom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40" w:type="dxa"/>
            <w:tcBorders>
              <w:top w:val="nil"/>
              <w:bottom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80" w:type="dxa"/>
            <w:tcBorders>
              <w:top w:val="nil"/>
              <w:bottom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600" w:type="dxa"/>
            <w:tcBorders>
              <w:top w:val="nil"/>
              <w:bottom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620" w:type="dxa"/>
            <w:tcBorders>
              <w:top w:val="nil"/>
              <w:bottom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80" w:type="dxa"/>
            <w:tcBorders>
              <w:top w:val="nil"/>
              <w:bottom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80" w:type="dxa"/>
            <w:tcBorders>
              <w:top w:val="nil"/>
              <w:bottom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80" w:type="dxa"/>
            <w:tcBorders>
              <w:top w:val="nil"/>
              <w:bottom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 xml:space="preserve">(%) </w:t>
            </w:r>
          </w:p>
        </w:tc>
        <w:tc>
          <w:tcPr>
            <w:tcW w:w="640" w:type="dxa"/>
            <w:tcBorders>
              <w:top w:val="nil"/>
              <w:bottom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640" w:type="dxa"/>
            <w:tcBorders>
              <w:top w:val="nil"/>
              <w:bottom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760" w:type="dxa"/>
            <w:tcBorders>
              <w:top w:val="nil"/>
              <w:bottom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Are business conditions</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20" w:type="dxa"/>
            <w:tcBorders>
              <w:top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40" w:type="dxa"/>
            <w:tcBorders>
              <w:top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80" w:type="dxa"/>
            <w:tcBorders>
              <w:top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600" w:type="dxa"/>
            <w:tcBorders>
              <w:top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620" w:type="dxa"/>
            <w:tcBorders>
              <w:top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80" w:type="dxa"/>
            <w:tcBorders>
              <w:top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80" w:type="dxa"/>
            <w:tcBorders>
              <w:top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80" w:type="dxa"/>
            <w:tcBorders>
              <w:top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640" w:type="dxa"/>
            <w:tcBorders>
              <w:top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640" w:type="dxa"/>
            <w:tcBorders>
              <w:top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760" w:type="dxa"/>
            <w:tcBorders>
              <w:top w:val="single" w:sz="4" w:space="0" w:color="auto"/>
            </w:tcBorders>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14</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in the U.S.</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64</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58</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62</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60</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29</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25</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 xml:space="preserve">Six months from now,  </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 xml:space="preserve">Better </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35</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will business conditions</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45</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34</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in the U.S. be:</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10</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28</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Are business conditions</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20</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24</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24</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35</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in Middle TN:</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63</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62</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60</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60</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53</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10</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 xml:space="preserve">Six months from now,  </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36</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will business conditions</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45</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in Middle TN be:</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10</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18</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Are jobs in Middle TN:</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Easy to find</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7</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Found w/effort</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53</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Hard to find</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35</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 xml:space="preserve">In Middle TN six months </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More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33</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from now there will be</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46</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 of jobs):</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 xml:space="preserve">Fewer </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16</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 xml:space="preserve">Compared to a year ago,  </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 xml:space="preserve">Better </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18</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is your personal financial</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58</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56</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56</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situation:</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26</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 xml:space="preserve">In 12 months will your  </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31</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 xml:space="preserve">personal financial </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51</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situation be:</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14</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10</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18</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 xml:space="preserve">Is now a good time to  </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31</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buy large items for</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45</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40</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roofErr w:type="gramStart"/>
            <w:r w:rsidRPr="00546A3A">
              <w:rPr>
                <w:rFonts w:ascii="Arial" w:hAnsi="Arial" w:cs="Arial"/>
                <w:sz w:val="16"/>
                <w:szCs w:val="16"/>
              </w:rPr>
              <w:t>the</w:t>
            </w:r>
            <w:proofErr w:type="gramEnd"/>
            <w:r w:rsidRPr="00546A3A">
              <w:rPr>
                <w:rFonts w:ascii="Arial" w:hAnsi="Arial" w:cs="Arial"/>
                <w:sz w:val="16"/>
                <w:szCs w:val="16"/>
              </w:rPr>
              <w:t xml:space="preserve"> home?</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22</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22</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23</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Is now a good time to</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68</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64</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68</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71</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69</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62</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house?</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14</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18</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14</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16</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0" w:type="dxa"/>
            <w:shd w:val="clear" w:color="auto" w:fill="EEECE1" w:themeFill="background2"/>
            <w:noWrap/>
            <w:hideMark/>
          </w:tcPr>
          <w:p w:rsidR="00546A3A" w:rsidRPr="00DA5B64"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r w:rsidRPr="00546A3A">
              <w:rPr>
                <w:rFonts w:ascii="Arial" w:hAnsi="Arial" w:cs="Arial"/>
                <w:sz w:val="16"/>
                <w:szCs w:val="16"/>
              </w:rPr>
              <w:t xml:space="preserve">Is now a good time to </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37</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car?</w:t>
            </w: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39</w:t>
            </w:r>
          </w:p>
        </w:tc>
      </w:tr>
      <w:tr w:rsidR="00CA7F8F" w:rsidRPr="00546A3A" w:rsidTr="00F750BC">
        <w:trPr>
          <w:trHeight w:val="255"/>
        </w:trPr>
        <w:tc>
          <w:tcPr>
            <w:cnfStyle w:val="001000000000" w:firstRow="0" w:lastRow="0" w:firstColumn="1" w:lastColumn="0" w:oddVBand="0" w:evenVBand="0" w:oddHBand="0" w:evenHBand="0" w:firstRowFirstColumn="0" w:firstRowLastColumn="0" w:lastRowFirstColumn="0" w:lastRowLastColumn="0"/>
            <w:tcW w:w="1960" w:type="dxa"/>
            <w:shd w:val="clear" w:color="auto" w:fill="EEECE1" w:themeFill="background2"/>
            <w:noWrap/>
            <w:hideMark/>
          </w:tcPr>
          <w:p w:rsidR="00546A3A" w:rsidRPr="00546A3A" w:rsidRDefault="00546A3A" w:rsidP="007C47FE">
            <w:pPr>
              <w:rPr>
                <w:rFonts w:ascii="Arial" w:hAnsi="Arial" w:cs="Arial"/>
                <w:sz w:val="16"/>
                <w:szCs w:val="16"/>
              </w:rPr>
            </w:pPr>
          </w:p>
        </w:tc>
        <w:tc>
          <w:tcPr>
            <w:tcW w:w="1140" w:type="dxa"/>
            <w:shd w:val="clear" w:color="auto" w:fill="EEECE1" w:themeFill="background2"/>
            <w:noWrap/>
            <w:hideMark/>
          </w:tcPr>
          <w:p w:rsidR="00546A3A" w:rsidRPr="00546A3A" w:rsidRDefault="00546A3A" w:rsidP="007C47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20</w:t>
            </w:r>
          </w:p>
        </w:tc>
        <w:tc>
          <w:tcPr>
            <w:tcW w:w="60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62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20</w:t>
            </w:r>
          </w:p>
        </w:tc>
        <w:tc>
          <w:tcPr>
            <w:tcW w:w="58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64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760" w:type="dxa"/>
            <w:shd w:val="clear" w:color="auto" w:fill="EEECE1" w:themeFill="background2"/>
            <w:noWrap/>
            <w:hideMark/>
          </w:tcPr>
          <w:p w:rsidR="00546A3A" w:rsidRPr="00DA5B64" w:rsidRDefault="00546A3A" w:rsidP="007C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5B64">
              <w:rPr>
                <w:rFonts w:ascii="Arial" w:hAnsi="Arial" w:cs="Arial"/>
                <w:b/>
                <w:bCs/>
              </w:rPr>
              <w:t>18</w:t>
            </w:r>
          </w:p>
        </w:tc>
      </w:tr>
    </w:tbl>
    <w:p w:rsidR="00546A3A" w:rsidRDefault="00546A3A" w:rsidP="00525FB0">
      <w:pPr>
        <w:pStyle w:val="BodyText"/>
        <w:jc w:val="both"/>
        <w:rPr>
          <w:rFonts w:asciiTheme="minorHAnsi" w:hAnsiTheme="minorHAnsi"/>
          <w:b/>
          <w:bCs/>
          <w:u w:val="single"/>
        </w:rPr>
      </w:pPr>
      <w:r>
        <w:rPr>
          <w:rFonts w:asciiTheme="minorHAnsi" w:hAnsiTheme="minorHAnsi"/>
          <w:b/>
          <w:bCs/>
          <w:u w:val="single"/>
        </w:rPr>
        <w:br w:type="column"/>
      </w:r>
    </w:p>
    <w:p w:rsidR="0048745E" w:rsidRPr="00CA0D29" w:rsidRDefault="00527F2A" w:rsidP="00527F2A">
      <w:pPr>
        <w:rPr>
          <w:rFonts w:asciiTheme="minorHAnsi" w:hAnsiTheme="minorHAnsi"/>
          <w:b/>
          <w:bCs/>
          <w:sz w:val="28"/>
          <w:szCs w:val="28"/>
          <w:u w:val="single"/>
        </w:rPr>
      </w:pPr>
      <w:r w:rsidRPr="00CA0D29">
        <w:rPr>
          <w:rFonts w:asciiTheme="minorHAnsi" w:hAnsiTheme="minorHAnsi"/>
          <w:b/>
          <w:bCs/>
          <w:sz w:val="28"/>
          <w:szCs w:val="28"/>
          <w:u w:val="single"/>
        </w:rPr>
        <w:t>Taxes</w:t>
      </w:r>
    </w:p>
    <w:p w:rsidR="00527F2A" w:rsidRPr="00A16353" w:rsidRDefault="00527F2A" w:rsidP="00527F2A">
      <w:pPr>
        <w:rPr>
          <w:rFonts w:asciiTheme="minorHAnsi" w:hAnsiTheme="minorHAnsi"/>
          <w:bCs/>
          <w:sz w:val="24"/>
        </w:rPr>
      </w:pPr>
    </w:p>
    <w:p w:rsidR="00B4601A" w:rsidRDefault="00527F2A" w:rsidP="00527F2A">
      <w:pPr>
        <w:jc w:val="both"/>
        <w:rPr>
          <w:rFonts w:asciiTheme="minorHAnsi" w:hAnsiTheme="minorHAnsi"/>
          <w:bCs/>
          <w:sz w:val="24"/>
        </w:rPr>
      </w:pPr>
      <w:r w:rsidRPr="00A16353">
        <w:rPr>
          <w:rFonts w:asciiTheme="minorHAnsi" w:hAnsiTheme="minorHAnsi"/>
          <w:bCs/>
          <w:sz w:val="24"/>
        </w:rPr>
        <w:t xml:space="preserve">     </w:t>
      </w:r>
      <w:r w:rsidR="00E20EF5">
        <w:rPr>
          <w:rFonts w:asciiTheme="minorHAnsi" w:hAnsiTheme="minorHAnsi"/>
          <w:bCs/>
          <w:sz w:val="24"/>
        </w:rPr>
        <w:t>I</w:t>
      </w:r>
      <w:r w:rsidR="00F744FC">
        <w:rPr>
          <w:rFonts w:asciiTheme="minorHAnsi" w:hAnsiTheme="minorHAnsi"/>
          <w:bCs/>
          <w:sz w:val="24"/>
        </w:rPr>
        <w:t>nc</w:t>
      </w:r>
      <w:r w:rsidR="001A22D8">
        <w:rPr>
          <w:rFonts w:asciiTheme="minorHAnsi" w:hAnsiTheme="minorHAnsi"/>
          <w:bCs/>
          <w:sz w:val="24"/>
        </w:rPr>
        <w:t xml:space="preserve">reases in taxes can decrease the amount of money </w:t>
      </w:r>
      <w:r w:rsidR="00F744FC">
        <w:rPr>
          <w:rFonts w:asciiTheme="minorHAnsi" w:hAnsiTheme="minorHAnsi"/>
          <w:bCs/>
          <w:sz w:val="24"/>
        </w:rPr>
        <w:t xml:space="preserve">that </w:t>
      </w:r>
      <w:r w:rsidR="001A22D8">
        <w:rPr>
          <w:rFonts w:asciiTheme="minorHAnsi" w:hAnsiTheme="minorHAnsi"/>
          <w:bCs/>
          <w:sz w:val="24"/>
        </w:rPr>
        <w:t xml:space="preserve">consumers have for discretionary spending.  We see </w:t>
      </w:r>
      <w:r w:rsidR="00F736A9">
        <w:rPr>
          <w:rFonts w:asciiTheme="minorHAnsi" w:hAnsiTheme="minorHAnsi"/>
          <w:bCs/>
          <w:sz w:val="24"/>
        </w:rPr>
        <w:t>a sharp increase in the percent of consume</w:t>
      </w:r>
      <w:r w:rsidR="00CA0D29">
        <w:rPr>
          <w:rFonts w:asciiTheme="minorHAnsi" w:hAnsiTheme="minorHAnsi"/>
          <w:bCs/>
          <w:sz w:val="24"/>
        </w:rPr>
        <w:t>r</w:t>
      </w:r>
      <w:r w:rsidR="00F736A9">
        <w:rPr>
          <w:rFonts w:asciiTheme="minorHAnsi" w:hAnsiTheme="minorHAnsi"/>
          <w:bCs/>
          <w:sz w:val="24"/>
        </w:rPr>
        <w:t xml:space="preserve">s who expect their tax bill to rise in the next year.  </w:t>
      </w:r>
      <w:r w:rsidR="001A22D8">
        <w:rPr>
          <w:rFonts w:asciiTheme="minorHAnsi" w:hAnsiTheme="minorHAnsi"/>
          <w:bCs/>
          <w:sz w:val="24"/>
        </w:rPr>
        <w:t xml:space="preserve">  </w:t>
      </w:r>
      <w:r w:rsidR="007044AA">
        <w:rPr>
          <w:rFonts w:asciiTheme="minorHAnsi" w:hAnsiTheme="minorHAnsi"/>
          <w:bCs/>
          <w:sz w:val="24"/>
        </w:rPr>
        <w:t xml:space="preserve">  </w:t>
      </w:r>
      <w:r w:rsidR="00564941">
        <w:rPr>
          <w:rFonts w:asciiTheme="minorHAnsi" w:hAnsiTheme="minorHAnsi"/>
          <w:bCs/>
          <w:sz w:val="24"/>
        </w:rPr>
        <w:t xml:space="preserve">  </w:t>
      </w:r>
      <w:r w:rsidR="00D62C8E">
        <w:rPr>
          <w:rFonts w:asciiTheme="minorHAnsi" w:hAnsiTheme="minorHAnsi"/>
          <w:bCs/>
          <w:sz w:val="24"/>
        </w:rPr>
        <w:t xml:space="preserve">  </w:t>
      </w:r>
      <w:r w:rsidR="00D16AAF">
        <w:rPr>
          <w:rFonts w:asciiTheme="minorHAnsi" w:hAnsiTheme="minorHAnsi"/>
          <w:bCs/>
          <w:sz w:val="24"/>
        </w:rPr>
        <w:t xml:space="preserve">  </w:t>
      </w:r>
    </w:p>
    <w:p w:rsidR="00125541" w:rsidRDefault="00125541" w:rsidP="00527F2A">
      <w:pPr>
        <w:jc w:val="both"/>
        <w:rPr>
          <w:rFonts w:asciiTheme="minorHAnsi" w:hAnsiTheme="minorHAnsi"/>
          <w:bCs/>
          <w:sz w:val="24"/>
        </w:rPr>
      </w:pPr>
    </w:p>
    <w:p w:rsidR="00527F2A" w:rsidRPr="00480D3A" w:rsidRDefault="00847832" w:rsidP="00527F2A">
      <w:pPr>
        <w:jc w:val="center"/>
        <w:rPr>
          <w:bCs/>
          <w:sz w:val="24"/>
        </w:rPr>
      </w:pPr>
      <w:r>
        <w:rPr>
          <w:noProof/>
          <w:sz w:val="24"/>
        </w:rPr>
        <w:drawing>
          <wp:inline distT="0" distB="0" distL="0" distR="0">
            <wp:extent cx="4994031" cy="2572378"/>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2498" w:rsidRDefault="00E22498" w:rsidP="00527F2A">
      <w:pPr>
        <w:rPr>
          <w:rFonts w:asciiTheme="minorHAnsi" w:hAnsiTheme="minorHAnsi"/>
          <w:b/>
          <w:bCs/>
          <w:sz w:val="24"/>
          <w:u w:val="single"/>
        </w:rPr>
      </w:pPr>
    </w:p>
    <w:p w:rsidR="00527F2A" w:rsidRPr="00CA0D29" w:rsidRDefault="00527F2A" w:rsidP="00527F2A">
      <w:pPr>
        <w:rPr>
          <w:rFonts w:asciiTheme="minorHAnsi" w:hAnsiTheme="minorHAnsi"/>
          <w:b/>
          <w:bCs/>
          <w:sz w:val="28"/>
          <w:szCs w:val="28"/>
          <w:u w:val="single"/>
        </w:rPr>
      </w:pPr>
      <w:r w:rsidRPr="00CA0D29">
        <w:rPr>
          <w:rFonts w:asciiTheme="minorHAnsi" w:hAnsiTheme="minorHAnsi"/>
          <w:b/>
          <w:bCs/>
          <w:sz w:val="28"/>
          <w:szCs w:val="28"/>
          <w:u w:val="single"/>
        </w:rPr>
        <w:t>Consumer Investments: The Stock Market</w:t>
      </w:r>
    </w:p>
    <w:p w:rsidR="00527F2A" w:rsidRPr="00A16353" w:rsidRDefault="00527F2A" w:rsidP="00527F2A">
      <w:pPr>
        <w:rPr>
          <w:rFonts w:asciiTheme="minorHAnsi" w:hAnsiTheme="minorHAnsi"/>
          <w:bCs/>
          <w:sz w:val="24"/>
        </w:rPr>
      </w:pPr>
    </w:p>
    <w:p w:rsidR="002C5E02" w:rsidRDefault="002C5E02" w:rsidP="00527F2A">
      <w:pPr>
        <w:jc w:val="both"/>
        <w:rPr>
          <w:rFonts w:asciiTheme="minorHAnsi" w:hAnsiTheme="minorHAnsi"/>
          <w:bCs/>
          <w:sz w:val="24"/>
        </w:rPr>
      </w:pPr>
      <w:r>
        <w:rPr>
          <w:rFonts w:asciiTheme="minorHAnsi" w:hAnsiTheme="minorHAnsi"/>
          <w:bCs/>
          <w:sz w:val="24"/>
        </w:rPr>
        <w:t xml:space="preserve">     </w:t>
      </w:r>
      <w:r w:rsidR="00E20EF5">
        <w:rPr>
          <w:rFonts w:asciiTheme="minorHAnsi" w:hAnsiTheme="minorHAnsi"/>
          <w:bCs/>
          <w:sz w:val="24"/>
        </w:rPr>
        <w:t xml:space="preserve">A rising </w:t>
      </w:r>
      <w:r w:rsidR="007044AA">
        <w:rPr>
          <w:rFonts w:asciiTheme="minorHAnsi" w:hAnsiTheme="minorHAnsi"/>
          <w:bCs/>
          <w:sz w:val="24"/>
        </w:rPr>
        <w:t xml:space="preserve">U.S. stock market </w:t>
      </w:r>
      <w:r w:rsidR="00E20EF5">
        <w:rPr>
          <w:rFonts w:asciiTheme="minorHAnsi" w:hAnsiTheme="minorHAnsi"/>
          <w:bCs/>
          <w:sz w:val="24"/>
        </w:rPr>
        <w:t xml:space="preserve">can give </w:t>
      </w:r>
      <w:r w:rsidR="007044AA">
        <w:rPr>
          <w:rFonts w:asciiTheme="minorHAnsi" w:hAnsiTheme="minorHAnsi"/>
          <w:bCs/>
          <w:sz w:val="24"/>
        </w:rPr>
        <w:t xml:space="preserve">consumers a greater feeling of wealth as their investments and savings grow.  </w:t>
      </w:r>
      <w:r w:rsidR="00CA0D29">
        <w:rPr>
          <w:rFonts w:asciiTheme="minorHAnsi" w:hAnsiTheme="minorHAnsi"/>
          <w:bCs/>
          <w:sz w:val="24"/>
        </w:rPr>
        <w:t xml:space="preserve">We see a marked increase in the percent of consumers who expect the stock market to decrease </w:t>
      </w:r>
      <w:r w:rsidR="00D161C8">
        <w:rPr>
          <w:rFonts w:asciiTheme="minorHAnsi" w:hAnsiTheme="minorHAnsi"/>
          <w:bCs/>
          <w:sz w:val="24"/>
        </w:rPr>
        <w:t xml:space="preserve">in value over </w:t>
      </w:r>
      <w:r w:rsidR="00CA0D29">
        <w:rPr>
          <w:rFonts w:asciiTheme="minorHAnsi" w:hAnsiTheme="minorHAnsi"/>
          <w:bCs/>
          <w:sz w:val="24"/>
        </w:rPr>
        <w:t xml:space="preserve">the next year, coupled with a modest decrease in the percent who expect the stock market to rise in </w:t>
      </w:r>
      <w:r w:rsidR="00D161C8">
        <w:rPr>
          <w:rFonts w:asciiTheme="minorHAnsi" w:hAnsiTheme="minorHAnsi"/>
          <w:bCs/>
          <w:sz w:val="24"/>
        </w:rPr>
        <w:t xml:space="preserve">value over </w:t>
      </w:r>
      <w:r w:rsidR="00CA0D29">
        <w:rPr>
          <w:rFonts w:asciiTheme="minorHAnsi" w:hAnsiTheme="minorHAnsi"/>
          <w:bCs/>
          <w:sz w:val="24"/>
        </w:rPr>
        <w:t>the next year.</w:t>
      </w:r>
      <w:r w:rsidR="00E20EF5">
        <w:rPr>
          <w:rFonts w:asciiTheme="minorHAnsi" w:hAnsiTheme="minorHAnsi"/>
          <w:bCs/>
          <w:sz w:val="24"/>
        </w:rPr>
        <w:t xml:space="preserve">  </w:t>
      </w:r>
    </w:p>
    <w:p w:rsidR="00CA0D29" w:rsidRDefault="00CA0D29" w:rsidP="00527F2A">
      <w:pPr>
        <w:jc w:val="both"/>
        <w:rPr>
          <w:rFonts w:asciiTheme="minorHAnsi" w:hAnsiTheme="minorHAnsi"/>
          <w:bCs/>
          <w:sz w:val="24"/>
        </w:rPr>
      </w:pPr>
    </w:p>
    <w:p w:rsidR="00527F2A" w:rsidRPr="00480D3A" w:rsidRDefault="00847832" w:rsidP="00527F2A">
      <w:pPr>
        <w:jc w:val="center"/>
        <w:rPr>
          <w:bCs/>
          <w:sz w:val="24"/>
        </w:rPr>
      </w:pPr>
      <w:r>
        <w:rPr>
          <w:noProof/>
          <w:sz w:val="24"/>
        </w:rPr>
        <w:drawing>
          <wp:inline distT="0" distB="0" distL="0" distR="0">
            <wp:extent cx="5755341" cy="2649071"/>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0D29" w:rsidRDefault="00CA0D29" w:rsidP="00F85ECC">
      <w:pPr>
        <w:rPr>
          <w:rFonts w:asciiTheme="minorHAnsi" w:hAnsiTheme="minorHAnsi"/>
          <w:b/>
          <w:bCs/>
          <w:sz w:val="24"/>
          <w:u w:val="single"/>
        </w:rPr>
      </w:pPr>
    </w:p>
    <w:p w:rsidR="00480D3A" w:rsidRPr="00CA0D29" w:rsidRDefault="00AA5AD3" w:rsidP="00F85ECC">
      <w:pPr>
        <w:rPr>
          <w:rFonts w:asciiTheme="minorHAnsi" w:hAnsiTheme="minorHAnsi"/>
          <w:b/>
          <w:bCs/>
          <w:sz w:val="28"/>
          <w:szCs w:val="28"/>
          <w:u w:val="single"/>
        </w:rPr>
      </w:pPr>
      <w:r w:rsidRPr="00CA0D29">
        <w:rPr>
          <w:rFonts w:asciiTheme="minorHAnsi" w:hAnsiTheme="minorHAnsi"/>
          <w:b/>
          <w:bCs/>
          <w:sz w:val="28"/>
          <w:szCs w:val="28"/>
          <w:u w:val="single"/>
        </w:rPr>
        <w:t>Consumer Saving</w:t>
      </w:r>
    </w:p>
    <w:p w:rsidR="00480D3A" w:rsidRPr="00A16353" w:rsidRDefault="00480D3A" w:rsidP="00F85ECC">
      <w:pPr>
        <w:rPr>
          <w:rFonts w:asciiTheme="minorHAnsi" w:hAnsiTheme="minorHAnsi"/>
          <w:bCs/>
          <w:sz w:val="24"/>
        </w:rPr>
      </w:pPr>
    </w:p>
    <w:p w:rsidR="009C3D59" w:rsidRPr="00A16353" w:rsidRDefault="00480D3A" w:rsidP="00B8681A">
      <w:pPr>
        <w:jc w:val="both"/>
        <w:rPr>
          <w:rFonts w:asciiTheme="minorHAnsi" w:hAnsiTheme="minorHAnsi"/>
          <w:bCs/>
          <w:sz w:val="24"/>
        </w:rPr>
      </w:pPr>
      <w:r w:rsidRPr="00A16353">
        <w:rPr>
          <w:rFonts w:asciiTheme="minorHAnsi" w:hAnsiTheme="minorHAnsi"/>
          <w:bCs/>
          <w:sz w:val="24"/>
        </w:rPr>
        <w:t xml:space="preserve">     Consumers were also asked about the</w:t>
      </w:r>
      <w:r w:rsidR="00AA5AD3" w:rsidRPr="00A16353">
        <w:rPr>
          <w:rFonts w:asciiTheme="minorHAnsi" w:hAnsiTheme="minorHAnsi"/>
          <w:bCs/>
          <w:sz w:val="24"/>
        </w:rPr>
        <w:t xml:space="preserve">ir </w:t>
      </w:r>
      <w:r w:rsidR="00182CC7">
        <w:rPr>
          <w:rFonts w:asciiTheme="minorHAnsi" w:hAnsiTheme="minorHAnsi"/>
          <w:bCs/>
          <w:sz w:val="24"/>
        </w:rPr>
        <w:t xml:space="preserve">current </w:t>
      </w:r>
      <w:r w:rsidR="00AA5AD3" w:rsidRPr="00A16353">
        <w:rPr>
          <w:rFonts w:asciiTheme="minorHAnsi" w:hAnsiTheme="minorHAnsi"/>
          <w:bCs/>
          <w:sz w:val="24"/>
        </w:rPr>
        <w:t>level of saving</w:t>
      </w:r>
      <w:r w:rsidR="00182CC7">
        <w:rPr>
          <w:rFonts w:asciiTheme="minorHAnsi" w:hAnsiTheme="minorHAnsi"/>
          <w:bCs/>
          <w:sz w:val="24"/>
        </w:rPr>
        <w:t xml:space="preserve"> compared to their level of saving before the </w:t>
      </w:r>
      <w:r w:rsidR="00E8417A">
        <w:rPr>
          <w:rFonts w:asciiTheme="minorHAnsi" w:hAnsiTheme="minorHAnsi"/>
          <w:bCs/>
          <w:sz w:val="24"/>
        </w:rPr>
        <w:t xml:space="preserve">most </w:t>
      </w:r>
      <w:r w:rsidR="000E2578">
        <w:rPr>
          <w:rFonts w:asciiTheme="minorHAnsi" w:hAnsiTheme="minorHAnsi"/>
          <w:bCs/>
          <w:sz w:val="24"/>
        </w:rPr>
        <w:t xml:space="preserve">recent </w:t>
      </w:r>
      <w:r w:rsidR="00182CC7">
        <w:rPr>
          <w:rFonts w:asciiTheme="minorHAnsi" w:hAnsiTheme="minorHAnsi"/>
          <w:bCs/>
          <w:sz w:val="24"/>
        </w:rPr>
        <w:t xml:space="preserve">recession began.  </w:t>
      </w:r>
    </w:p>
    <w:p w:rsidR="009C3D59" w:rsidRPr="00A16353" w:rsidRDefault="009C3D59" w:rsidP="00F85ECC">
      <w:pPr>
        <w:rPr>
          <w:rFonts w:asciiTheme="minorHAnsi" w:hAnsiTheme="minorHAnsi"/>
          <w:bCs/>
          <w:sz w:val="24"/>
        </w:rPr>
      </w:pPr>
    </w:p>
    <w:p w:rsidR="00480D3A" w:rsidRPr="00480D3A" w:rsidRDefault="00847832" w:rsidP="009B0620">
      <w:pPr>
        <w:jc w:val="center"/>
        <w:rPr>
          <w:bCs/>
          <w:sz w:val="24"/>
        </w:rPr>
      </w:pPr>
      <w:r>
        <w:rPr>
          <w:noProof/>
          <w:sz w:val="24"/>
        </w:rPr>
        <w:drawing>
          <wp:inline distT="0" distB="0" distL="0" distR="0" wp14:anchorId="5EF58269" wp14:editId="0B98D096">
            <wp:extent cx="5466303" cy="2491992"/>
            <wp:effectExtent l="0" t="0" r="1270" b="381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7796" w:rsidRDefault="00A67796" w:rsidP="00FC0474">
      <w:pPr>
        <w:rPr>
          <w:rFonts w:asciiTheme="minorHAnsi" w:hAnsiTheme="minorHAnsi"/>
          <w:bCs/>
          <w:sz w:val="24"/>
        </w:rPr>
      </w:pPr>
    </w:p>
    <w:p w:rsidR="009B0620" w:rsidRDefault="00256CBB" w:rsidP="008D7786">
      <w:pPr>
        <w:jc w:val="both"/>
        <w:rPr>
          <w:rFonts w:asciiTheme="minorHAnsi" w:hAnsiTheme="minorHAnsi"/>
          <w:bCs/>
          <w:sz w:val="24"/>
        </w:rPr>
      </w:pPr>
      <w:r>
        <w:rPr>
          <w:rFonts w:asciiTheme="minorHAnsi" w:hAnsiTheme="minorHAnsi"/>
          <w:bCs/>
          <w:sz w:val="24"/>
        </w:rPr>
        <w:t xml:space="preserve"> </w:t>
      </w:r>
      <w:r w:rsidR="00EE16F1" w:rsidRPr="00A16353">
        <w:rPr>
          <w:rFonts w:asciiTheme="minorHAnsi" w:hAnsiTheme="minorHAnsi"/>
          <w:bCs/>
          <w:sz w:val="24"/>
        </w:rPr>
        <w:t xml:space="preserve">     Consumers were also asked to look ahead and predict their level of saving after the </w:t>
      </w:r>
      <w:r w:rsidR="00E8417A">
        <w:rPr>
          <w:rFonts w:asciiTheme="minorHAnsi" w:hAnsiTheme="minorHAnsi"/>
          <w:bCs/>
          <w:sz w:val="24"/>
        </w:rPr>
        <w:t xml:space="preserve">most recent </w:t>
      </w:r>
      <w:r w:rsidR="00EE16F1" w:rsidRPr="00A16353">
        <w:rPr>
          <w:rFonts w:asciiTheme="minorHAnsi" w:hAnsiTheme="minorHAnsi"/>
          <w:bCs/>
          <w:sz w:val="24"/>
        </w:rPr>
        <w:t xml:space="preserve">recession </w:t>
      </w:r>
      <w:r w:rsidR="00955190">
        <w:rPr>
          <w:rFonts w:asciiTheme="minorHAnsi" w:hAnsiTheme="minorHAnsi"/>
          <w:bCs/>
          <w:sz w:val="24"/>
        </w:rPr>
        <w:t xml:space="preserve">has completely ended </w:t>
      </w:r>
      <w:r w:rsidR="00EE16F1" w:rsidRPr="00A16353">
        <w:rPr>
          <w:rFonts w:asciiTheme="minorHAnsi" w:hAnsiTheme="minorHAnsi"/>
          <w:bCs/>
          <w:sz w:val="24"/>
        </w:rPr>
        <w:t xml:space="preserve">and the economy strengthens. </w:t>
      </w:r>
      <w:r w:rsidR="004C2F21">
        <w:rPr>
          <w:rFonts w:asciiTheme="minorHAnsi" w:hAnsiTheme="minorHAnsi"/>
          <w:bCs/>
          <w:sz w:val="24"/>
        </w:rPr>
        <w:t xml:space="preserve">  </w:t>
      </w:r>
      <w:r w:rsidR="00291A59">
        <w:rPr>
          <w:rFonts w:asciiTheme="minorHAnsi" w:hAnsiTheme="minorHAnsi"/>
          <w:bCs/>
          <w:sz w:val="24"/>
        </w:rPr>
        <w:t xml:space="preserve">These results have remained fairly steady during the past few surveys.  </w:t>
      </w:r>
      <w:r w:rsidR="00CA0D29">
        <w:rPr>
          <w:rFonts w:asciiTheme="minorHAnsi" w:hAnsiTheme="minorHAnsi"/>
          <w:bCs/>
          <w:sz w:val="24"/>
        </w:rPr>
        <w:t xml:space="preserve">Almost half of consumers surveyed </w:t>
      </w:r>
      <w:r w:rsidR="00291A59">
        <w:rPr>
          <w:rFonts w:asciiTheme="minorHAnsi" w:hAnsiTheme="minorHAnsi"/>
          <w:bCs/>
          <w:sz w:val="24"/>
        </w:rPr>
        <w:t>expect to increase their level of saving, whereas v</w:t>
      </w:r>
      <w:r w:rsidR="00B8681A">
        <w:rPr>
          <w:rFonts w:asciiTheme="minorHAnsi" w:hAnsiTheme="minorHAnsi"/>
          <w:bCs/>
          <w:sz w:val="24"/>
        </w:rPr>
        <w:t xml:space="preserve">ery few consumers expect to decrease their level of saving.  </w:t>
      </w:r>
    </w:p>
    <w:p w:rsidR="00E25F36" w:rsidRPr="00A16353" w:rsidRDefault="00E25F36" w:rsidP="008D7786">
      <w:pPr>
        <w:jc w:val="both"/>
        <w:rPr>
          <w:rFonts w:asciiTheme="minorHAnsi" w:hAnsiTheme="minorHAnsi"/>
          <w:bCs/>
          <w:sz w:val="24"/>
        </w:rPr>
      </w:pPr>
    </w:p>
    <w:p w:rsidR="009B0620" w:rsidRPr="00EE16F1" w:rsidRDefault="009B0620" w:rsidP="00F85ECC">
      <w:pPr>
        <w:rPr>
          <w:bCs/>
          <w:sz w:val="24"/>
        </w:rPr>
      </w:pPr>
    </w:p>
    <w:p w:rsidR="002273AC" w:rsidRPr="002273AC" w:rsidRDefault="00847832" w:rsidP="00301E61">
      <w:pPr>
        <w:jc w:val="center"/>
        <w:rPr>
          <w:bCs/>
          <w:sz w:val="24"/>
        </w:rPr>
      </w:pPr>
      <w:r>
        <w:rPr>
          <w:noProof/>
          <w:sz w:val="24"/>
        </w:rPr>
        <w:drawing>
          <wp:inline distT="0" distB="0" distL="0" distR="0" wp14:anchorId="27AA5C9E" wp14:editId="4DAFCFCC">
            <wp:extent cx="5446207" cy="3034602"/>
            <wp:effectExtent l="0" t="0" r="2540" b="0"/>
            <wp:docPr id="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0D29" w:rsidRDefault="00CA0D29" w:rsidP="00E63A1F">
      <w:pPr>
        <w:pStyle w:val="BodyText"/>
        <w:jc w:val="both"/>
        <w:rPr>
          <w:rFonts w:asciiTheme="minorHAnsi" w:hAnsiTheme="minorHAnsi"/>
          <w:b/>
          <w:bCs/>
          <w:u w:val="single"/>
        </w:rPr>
      </w:pPr>
    </w:p>
    <w:p w:rsidR="008D1959" w:rsidRPr="008D1959" w:rsidRDefault="008D1959" w:rsidP="008D1959">
      <w:pPr>
        <w:jc w:val="both"/>
        <w:rPr>
          <w:rFonts w:asciiTheme="minorHAnsi" w:hAnsiTheme="minorHAnsi"/>
          <w:b/>
          <w:bCs/>
          <w:sz w:val="28"/>
          <w:szCs w:val="28"/>
          <w:u w:val="single"/>
        </w:rPr>
      </w:pPr>
      <w:r w:rsidRPr="008D1959">
        <w:rPr>
          <w:rFonts w:asciiTheme="minorHAnsi" w:hAnsiTheme="minorHAnsi"/>
          <w:b/>
          <w:bCs/>
          <w:sz w:val="28"/>
          <w:szCs w:val="28"/>
          <w:u w:val="single"/>
        </w:rPr>
        <w:t>Christmas and Holiday Spending</w:t>
      </w:r>
    </w:p>
    <w:p w:rsidR="008D1959" w:rsidRDefault="008D1959" w:rsidP="00E63A1F">
      <w:pPr>
        <w:pStyle w:val="BodyText"/>
        <w:jc w:val="both"/>
        <w:rPr>
          <w:rFonts w:asciiTheme="minorHAnsi" w:hAnsiTheme="minorHAnsi"/>
          <w:bCs/>
        </w:rPr>
      </w:pPr>
    </w:p>
    <w:p w:rsidR="008D1959" w:rsidRDefault="00E63A1F" w:rsidP="00E63A1F">
      <w:pPr>
        <w:pStyle w:val="BodyText"/>
        <w:jc w:val="both"/>
        <w:rPr>
          <w:rFonts w:asciiTheme="minorHAnsi" w:hAnsiTheme="minorHAnsi"/>
          <w:bCs/>
        </w:rPr>
      </w:pPr>
      <w:r>
        <w:rPr>
          <w:rFonts w:asciiTheme="minorHAnsi" w:hAnsiTheme="minorHAnsi"/>
          <w:bCs/>
        </w:rPr>
        <w:t xml:space="preserve">     </w:t>
      </w:r>
      <w:r w:rsidR="008D1959">
        <w:rPr>
          <w:rFonts w:asciiTheme="minorHAnsi" w:hAnsiTheme="minorHAnsi"/>
          <w:bCs/>
        </w:rPr>
        <w:t xml:space="preserve">The holiday shopping season is an important time for most retailers.  A concern for local retailers is that the sudden pessimistic shifts in consumers’ outlook can dampen their willingness to spend money on holiday and Christmas gifts.  </w:t>
      </w:r>
    </w:p>
    <w:p w:rsidR="00226789" w:rsidRDefault="00226789" w:rsidP="00226789">
      <w:pPr>
        <w:jc w:val="both"/>
        <w:rPr>
          <w:rFonts w:asciiTheme="minorHAnsi" w:hAnsiTheme="minorHAnsi"/>
          <w:bCs/>
          <w:sz w:val="24"/>
        </w:rPr>
      </w:pPr>
    </w:p>
    <w:p w:rsidR="00FE48A8" w:rsidRDefault="00226789" w:rsidP="00226789">
      <w:pPr>
        <w:jc w:val="both"/>
        <w:rPr>
          <w:rFonts w:asciiTheme="minorHAnsi" w:hAnsiTheme="minorHAnsi"/>
          <w:bCs/>
          <w:sz w:val="24"/>
        </w:rPr>
      </w:pPr>
      <w:r w:rsidRPr="0091272D">
        <w:rPr>
          <w:rFonts w:asciiTheme="minorHAnsi" w:hAnsiTheme="minorHAnsi"/>
          <w:bCs/>
          <w:sz w:val="24"/>
        </w:rPr>
        <w:t xml:space="preserve">     When asked about their expected Christmas </w:t>
      </w:r>
      <w:r>
        <w:rPr>
          <w:rFonts w:asciiTheme="minorHAnsi" w:hAnsiTheme="minorHAnsi"/>
          <w:bCs/>
          <w:sz w:val="24"/>
        </w:rPr>
        <w:t xml:space="preserve">and holiday </w:t>
      </w:r>
      <w:r w:rsidR="008D1959">
        <w:rPr>
          <w:rFonts w:asciiTheme="minorHAnsi" w:hAnsiTheme="minorHAnsi"/>
          <w:bCs/>
          <w:sz w:val="24"/>
        </w:rPr>
        <w:t>spending, fewer consumers expect to increase their spending (compared</w:t>
      </w:r>
      <w:r w:rsidR="00FE48A8">
        <w:rPr>
          <w:rFonts w:asciiTheme="minorHAnsi" w:hAnsiTheme="minorHAnsi"/>
          <w:bCs/>
          <w:sz w:val="24"/>
        </w:rPr>
        <w:t xml:space="preserve"> to what they spent last year), whereas more consumers expect to spend about the same as last year.  </w:t>
      </w:r>
    </w:p>
    <w:p w:rsidR="00FE48A8" w:rsidRDefault="00FE48A8" w:rsidP="00226789">
      <w:pPr>
        <w:jc w:val="both"/>
        <w:rPr>
          <w:rFonts w:asciiTheme="minorHAnsi" w:hAnsiTheme="minorHAnsi"/>
          <w:bCs/>
          <w:sz w:val="24"/>
        </w:rPr>
      </w:pPr>
    </w:p>
    <w:p w:rsidR="00226789" w:rsidRDefault="00226789" w:rsidP="00226789">
      <w:pPr>
        <w:rPr>
          <w:rFonts w:asciiTheme="minorHAnsi" w:hAnsiTheme="minorHAnsi"/>
          <w:bCs/>
          <w:sz w:val="24"/>
        </w:rPr>
      </w:pPr>
      <w:r>
        <w:rPr>
          <w:rFonts w:asciiTheme="minorHAnsi" w:hAnsiTheme="minorHAnsi"/>
          <w:bCs/>
          <w:noProof/>
          <w:sz w:val="24"/>
        </w:rPr>
        <w:drawing>
          <wp:inline distT="0" distB="0" distL="0" distR="0" wp14:anchorId="14B47C8D" wp14:editId="6B1AE617">
            <wp:extent cx="5486400" cy="2822027"/>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6789" w:rsidRDefault="00226789" w:rsidP="00226789">
      <w:pPr>
        <w:rPr>
          <w:rFonts w:asciiTheme="minorHAnsi" w:hAnsiTheme="minorHAnsi"/>
          <w:bCs/>
          <w:sz w:val="24"/>
        </w:rPr>
      </w:pPr>
    </w:p>
    <w:p w:rsidR="00FE48A8" w:rsidRDefault="00FE48A8" w:rsidP="00FE48A8">
      <w:pPr>
        <w:rPr>
          <w:rFonts w:asciiTheme="minorHAnsi" w:hAnsiTheme="minorHAnsi"/>
          <w:bCs/>
          <w:sz w:val="24"/>
        </w:rPr>
      </w:pPr>
      <w:r w:rsidRPr="00FE48A8">
        <w:rPr>
          <w:rFonts w:asciiTheme="minorHAnsi" w:hAnsiTheme="minorHAnsi"/>
          <w:b/>
          <w:bCs/>
          <w:i/>
          <w:sz w:val="24"/>
        </w:rPr>
        <w:t xml:space="preserve">Comparison to </w:t>
      </w:r>
      <w:r w:rsidR="00D161C8">
        <w:rPr>
          <w:rFonts w:asciiTheme="minorHAnsi" w:hAnsiTheme="minorHAnsi"/>
          <w:b/>
          <w:bCs/>
          <w:i/>
          <w:sz w:val="24"/>
        </w:rPr>
        <w:t>National Surveys</w:t>
      </w:r>
      <w:r w:rsidRPr="00FE48A8">
        <w:rPr>
          <w:rFonts w:asciiTheme="minorHAnsi" w:hAnsiTheme="minorHAnsi"/>
          <w:b/>
          <w:bCs/>
          <w:i/>
          <w:sz w:val="24"/>
        </w:rPr>
        <w:t>.</w:t>
      </w:r>
      <w:r>
        <w:rPr>
          <w:rFonts w:asciiTheme="minorHAnsi" w:hAnsiTheme="minorHAnsi"/>
          <w:bCs/>
          <w:sz w:val="24"/>
        </w:rPr>
        <w:t xml:space="preserve">     The 13</w:t>
      </w:r>
      <w:r w:rsidRPr="00892687">
        <w:rPr>
          <w:rFonts w:asciiTheme="minorHAnsi" w:hAnsiTheme="minorHAnsi"/>
          <w:bCs/>
          <w:sz w:val="24"/>
          <w:vertAlign w:val="superscript"/>
        </w:rPr>
        <w:t>th</w:t>
      </w:r>
      <w:r>
        <w:rPr>
          <w:rFonts w:asciiTheme="minorHAnsi" w:hAnsiTheme="minorHAnsi"/>
          <w:bCs/>
          <w:sz w:val="24"/>
        </w:rPr>
        <w:t xml:space="preserve"> annual holiday spending survey, conducted by the Consumer Federation of America (CFA) and the Credit Union National Association (CUNA) recently found that 12 percent of Americans expect to increase their holiday spending from last year, and 38 percent expect to decrease their holiday spending from last year.</w:t>
      </w:r>
      <w:r>
        <w:rPr>
          <w:rStyle w:val="FootnoteReference"/>
          <w:rFonts w:asciiTheme="minorHAnsi" w:hAnsiTheme="minorHAnsi"/>
          <w:bCs/>
          <w:sz w:val="24"/>
        </w:rPr>
        <w:footnoteReference w:id="2"/>
      </w:r>
      <w:r>
        <w:rPr>
          <w:rFonts w:asciiTheme="minorHAnsi" w:hAnsiTheme="minorHAnsi"/>
          <w:bCs/>
          <w:sz w:val="24"/>
        </w:rPr>
        <w:t xml:space="preserve">   This suggests an overall inc</w:t>
      </w:r>
      <w:bookmarkStart w:id="0" w:name="_GoBack"/>
      <w:bookmarkEnd w:id="0"/>
      <w:r>
        <w:rPr>
          <w:rFonts w:asciiTheme="minorHAnsi" w:hAnsiTheme="minorHAnsi"/>
          <w:bCs/>
          <w:sz w:val="24"/>
        </w:rPr>
        <w:t xml:space="preserve">rease in holiday spending for this year, compared to last year.  If this holds true for the nation as a whole, it is welcome news for American businesses and retailers.  </w:t>
      </w:r>
    </w:p>
    <w:p w:rsidR="00FE48A8" w:rsidRDefault="00FE48A8" w:rsidP="00FE48A8">
      <w:pPr>
        <w:rPr>
          <w:rFonts w:asciiTheme="minorHAnsi" w:hAnsiTheme="minorHAnsi"/>
          <w:bCs/>
          <w:sz w:val="24"/>
        </w:rPr>
      </w:pPr>
    </w:p>
    <w:p w:rsidR="00FE48A8" w:rsidRPr="0035643A" w:rsidRDefault="00FE48A8" w:rsidP="00FE48A8">
      <w:pPr>
        <w:rPr>
          <w:rFonts w:asciiTheme="minorHAnsi" w:hAnsiTheme="minorHAnsi"/>
          <w:bCs/>
          <w:sz w:val="24"/>
          <w:szCs w:val="24"/>
        </w:rPr>
      </w:pPr>
      <w:r>
        <w:rPr>
          <w:rFonts w:asciiTheme="minorHAnsi" w:hAnsiTheme="minorHAnsi"/>
          <w:bCs/>
          <w:sz w:val="24"/>
        </w:rPr>
        <w:t xml:space="preserve">     Some of the best-selling gift categories for this year are expected to be electronics (especially tablets), jewelry, gift cards, clothing, personal care products, home and </w:t>
      </w:r>
      <w:r w:rsidRPr="0035643A">
        <w:rPr>
          <w:rFonts w:asciiTheme="minorHAnsi" w:hAnsiTheme="minorHAnsi"/>
          <w:bCs/>
          <w:sz w:val="24"/>
          <w:szCs w:val="24"/>
        </w:rPr>
        <w:t>garden, sporting goods, hobbies</w:t>
      </w:r>
      <w:r>
        <w:rPr>
          <w:rFonts w:asciiTheme="minorHAnsi" w:hAnsiTheme="minorHAnsi"/>
          <w:bCs/>
          <w:sz w:val="24"/>
          <w:szCs w:val="24"/>
        </w:rPr>
        <w:t>,</w:t>
      </w:r>
      <w:r w:rsidRPr="00FE48A8">
        <w:rPr>
          <w:rFonts w:asciiTheme="minorHAnsi" w:hAnsiTheme="minorHAnsi"/>
          <w:bCs/>
          <w:sz w:val="24"/>
          <w:szCs w:val="24"/>
        </w:rPr>
        <w:t xml:space="preserve"> </w:t>
      </w:r>
      <w:r w:rsidRPr="0035643A">
        <w:rPr>
          <w:rFonts w:asciiTheme="minorHAnsi" w:hAnsiTheme="minorHAnsi"/>
          <w:bCs/>
          <w:sz w:val="24"/>
          <w:szCs w:val="24"/>
        </w:rPr>
        <w:t xml:space="preserve">and </w:t>
      </w:r>
      <w:r>
        <w:rPr>
          <w:rFonts w:asciiTheme="minorHAnsi" w:hAnsiTheme="minorHAnsi"/>
          <w:bCs/>
          <w:sz w:val="24"/>
          <w:szCs w:val="24"/>
        </w:rPr>
        <w:t xml:space="preserve">of course </w:t>
      </w:r>
      <w:r w:rsidRPr="0035643A">
        <w:rPr>
          <w:rFonts w:asciiTheme="minorHAnsi" w:hAnsiTheme="minorHAnsi"/>
          <w:bCs/>
          <w:sz w:val="24"/>
          <w:szCs w:val="24"/>
        </w:rPr>
        <w:t xml:space="preserve">toys.       </w:t>
      </w:r>
    </w:p>
    <w:p w:rsidR="00FE48A8" w:rsidRPr="0035643A" w:rsidRDefault="00FE48A8" w:rsidP="00FE48A8">
      <w:pPr>
        <w:pStyle w:val="BodyText"/>
        <w:jc w:val="both"/>
        <w:rPr>
          <w:rFonts w:asciiTheme="minorHAnsi" w:hAnsiTheme="minorHAnsi"/>
          <w:bCs/>
          <w:szCs w:val="24"/>
        </w:rPr>
      </w:pPr>
    </w:p>
    <w:p w:rsidR="00FE48A8" w:rsidRDefault="00FE48A8" w:rsidP="00226789">
      <w:pPr>
        <w:rPr>
          <w:rFonts w:asciiTheme="minorHAnsi" w:hAnsiTheme="minorHAnsi"/>
          <w:bCs/>
          <w:sz w:val="24"/>
        </w:rPr>
      </w:pPr>
    </w:p>
    <w:p w:rsidR="00FE48A8" w:rsidRDefault="00FE48A8" w:rsidP="00226789">
      <w:pPr>
        <w:rPr>
          <w:rFonts w:asciiTheme="minorHAnsi" w:hAnsiTheme="minorHAnsi"/>
          <w:bCs/>
          <w:sz w:val="24"/>
        </w:rPr>
      </w:pPr>
    </w:p>
    <w:p w:rsidR="00FE48A8" w:rsidRDefault="00FE48A8" w:rsidP="00226789">
      <w:pPr>
        <w:rPr>
          <w:rFonts w:asciiTheme="minorHAnsi" w:hAnsiTheme="minorHAnsi"/>
          <w:bCs/>
          <w:sz w:val="24"/>
        </w:rPr>
      </w:pPr>
    </w:p>
    <w:p w:rsidR="007C47FE" w:rsidRDefault="00226789" w:rsidP="007C47FE">
      <w:pPr>
        <w:pStyle w:val="BodyText"/>
        <w:jc w:val="both"/>
        <w:rPr>
          <w:rFonts w:asciiTheme="minorHAnsi" w:hAnsiTheme="minorHAnsi"/>
          <w:color w:val="333333"/>
          <w:szCs w:val="24"/>
        </w:rPr>
      </w:pPr>
      <w:r w:rsidRPr="0091272D">
        <w:rPr>
          <w:rFonts w:asciiTheme="minorHAnsi" w:hAnsiTheme="minorHAnsi"/>
          <w:bCs/>
        </w:rPr>
        <w:t xml:space="preserve">     Consumers were also asked to estimate the amount of money they expect to spend on Christmas and </w:t>
      </w:r>
      <w:r w:rsidR="00D161C8">
        <w:rPr>
          <w:rFonts w:asciiTheme="minorHAnsi" w:hAnsiTheme="minorHAnsi"/>
          <w:bCs/>
        </w:rPr>
        <w:t>h</w:t>
      </w:r>
      <w:r w:rsidRPr="0091272D">
        <w:rPr>
          <w:rFonts w:asciiTheme="minorHAnsi" w:hAnsiTheme="minorHAnsi"/>
          <w:bCs/>
        </w:rPr>
        <w:t xml:space="preserve">oliday gifts this year.  </w:t>
      </w:r>
      <w:r w:rsidR="007C47FE">
        <w:rPr>
          <w:rFonts w:asciiTheme="minorHAnsi" w:hAnsiTheme="minorHAnsi"/>
          <w:bCs/>
        </w:rPr>
        <w:t xml:space="preserve">Fewer than half </w:t>
      </w:r>
      <w:r>
        <w:rPr>
          <w:rFonts w:asciiTheme="minorHAnsi" w:hAnsiTheme="minorHAnsi"/>
          <w:bCs/>
        </w:rPr>
        <w:t>(4</w:t>
      </w:r>
      <w:r w:rsidR="007C47FE">
        <w:rPr>
          <w:rFonts w:asciiTheme="minorHAnsi" w:hAnsiTheme="minorHAnsi"/>
          <w:bCs/>
        </w:rPr>
        <w:t>2</w:t>
      </w:r>
      <w:r>
        <w:rPr>
          <w:rFonts w:asciiTheme="minorHAnsi" w:hAnsiTheme="minorHAnsi"/>
          <w:bCs/>
        </w:rPr>
        <w:t xml:space="preserve"> percent) of all local consumers expect to spend less than $500.  </w:t>
      </w:r>
      <w:r w:rsidR="007C47FE">
        <w:rPr>
          <w:rFonts w:asciiTheme="minorHAnsi" w:hAnsiTheme="minorHAnsi"/>
          <w:bCs/>
        </w:rPr>
        <w:t>Alternatively, 5</w:t>
      </w:r>
      <w:r w:rsidR="00FC307C">
        <w:rPr>
          <w:rFonts w:asciiTheme="minorHAnsi" w:hAnsiTheme="minorHAnsi"/>
          <w:bCs/>
        </w:rPr>
        <w:t>8</w:t>
      </w:r>
      <w:r w:rsidR="007C47FE">
        <w:rPr>
          <w:rFonts w:asciiTheme="minorHAnsi" w:hAnsiTheme="minorHAnsi"/>
          <w:bCs/>
        </w:rPr>
        <w:t xml:space="preserve"> </w:t>
      </w:r>
      <w:r>
        <w:rPr>
          <w:rFonts w:asciiTheme="minorHAnsi" w:hAnsiTheme="minorHAnsi"/>
          <w:bCs/>
        </w:rPr>
        <w:t>percent expect to spend more than $500.</w:t>
      </w:r>
      <w:r w:rsidR="008A757A">
        <w:rPr>
          <w:rFonts w:asciiTheme="minorHAnsi" w:hAnsiTheme="minorHAnsi"/>
          <w:bCs/>
        </w:rPr>
        <w:t xml:space="preserve">  Further, almost one in four local consumers expects to spend more than $1,000 on Christmas and holiday gifts.</w:t>
      </w:r>
      <w:r w:rsidR="007C47FE">
        <w:rPr>
          <w:rFonts w:asciiTheme="minorHAnsi" w:hAnsiTheme="minorHAnsi"/>
          <w:bCs/>
        </w:rPr>
        <w:t xml:space="preserve">   </w:t>
      </w:r>
      <w:r>
        <w:rPr>
          <w:rFonts w:asciiTheme="minorHAnsi" w:hAnsiTheme="minorHAnsi"/>
          <w:bCs/>
        </w:rPr>
        <w:t xml:space="preserve">  </w:t>
      </w:r>
      <w:r w:rsidR="007C47FE">
        <w:rPr>
          <w:rFonts w:asciiTheme="minorHAnsi" w:hAnsiTheme="minorHAnsi"/>
          <w:color w:val="333333"/>
          <w:szCs w:val="24"/>
        </w:rPr>
        <w:t xml:space="preserve">     </w:t>
      </w:r>
    </w:p>
    <w:p w:rsidR="007C47FE" w:rsidRDefault="007C47FE" w:rsidP="007C47FE">
      <w:pPr>
        <w:pStyle w:val="BodyText"/>
        <w:jc w:val="both"/>
        <w:rPr>
          <w:rFonts w:asciiTheme="minorHAnsi" w:hAnsiTheme="minorHAnsi"/>
          <w:color w:val="333333"/>
          <w:szCs w:val="24"/>
        </w:rPr>
      </w:pPr>
      <w:r>
        <w:rPr>
          <w:rFonts w:asciiTheme="minorHAnsi" w:hAnsiTheme="minorHAnsi"/>
          <w:color w:val="333333"/>
          <w:szCs w:val="24"/>
        </w:rPr>
        <w:t xml:space="preserve">     </w:t>
      </w:r>
    </w:p>
    <w:p w:rsidR="007C47FE" w:rsidRPr="0035643A" w:rsidRDefault="007C47FE" w:rsidP="007C47FE">
      <w:pPr>
        <w:pStyle w:val="BodyText"/>
        <w:jc w:val="both"/>
        <w:rPr>
          <w:rFonts w:asciiTheme="minorHAnsi" w:hAnsiTheme="minorHAnsi"/>
          <w:bCs/>
          <w:szCs w:val="24"/>
        </w:rPr>
      </w:pPr>
      <w:r>
        <w:rPr>
          <w:rFonts w:asciiTheme="minorHAnsi" w:hAnsiTheme="minorHAnsi"/>
          <w:color w:val="333333"/>
          <w:szCs w:val="24"/>
        </w:rPr>
        <w:t xml:space="preserve">     Results from a recent survey conducted by the National Retail Federation suggests that American families will spend an average of </w:t>
      </w:r>
      <w:r w:rsidRPr="0035643A">
        <w:rPr>
          <w:rFonts w:asciiTheme="minorHAnsi" w:hAnsiTheme="minorHAnsi"/>
          <w:color w:val="333333"/>
          <w:szCs w:val="24"/>
        </w:rPr>
        <w:t>$749.51 on gifts, décor, greeting cards and more</w:t>
      </w:r>
      <w:r>
        <w:rPr>
          <w:rFonts w:asciiTheme="minorHAnsi" w:hAnsiTheme="minorHAnsi"/>
          <w:color w:val="333333"/>
          <w:szCs w:val="24"/>
        </w:rPr>
        <w:t xml:space="preserve"> this holiday season</w:t>
      </w:r>
      <w:r w:rsidRPr="0035643A">
        <w:rPr>
          <w:rFonts w:asciiTheme="minorHAnsi" w:hAnsiTheme="minorHAnsi"/>
          <w:color w:val="333333"/>
          <w:szCs w:val="24"/>
        </w:rPr>
        <w:t xml:space="preserve">, up slightly from the $740.57 they </w:t>
      </w:r>
      <w:r w:rsidRPr="0035643A">
        <w:rPr>
          <w:rFonts w:asciiTheme="minorHAnsi" w:hAnsiTheme="minorHAnsi"/>
          <w:szCs w:val="24"/>
        </w:rPr>
        <w:t xml:space="preserve">spent </w:t>
      </w:r>
      <w:hyperlink r:id="rId18" w:history="1">
        <w:r w:rsidRPr="0035643A">
          <w:rPr>
            <w:rFonts w:asciiTheme="minorHAnsi" w:hAnsiTheme="minorHAnsi"/>
            <w:bCs/>
            <w:szCs w:val="24"/>
          </w:rPr>
          <w:t>last year</w:t>
        </w:r>
      </w:hyperlink>
      <w:r w:rsidRPr="0035643A">
        <w:rPr>
          <w:rFonts w:asciiTheme="minorHAnsi" w:hAnsiTheme="minorHAnsi"/>
          <w:szCs w:val="24"/>
        </w:rPr>
        <w:t>.</w:t>
      </w:r>
      <w:r>
        <w:rPr>
          <w:rStyle w:val="FootnoteReference"/>
          <w:rFonts w:asciiTheme="minorHAnsi" w:hAnsiTheme="minorHAnsi"/>
          <w:szCs w:val="24"/>
        </w:rPr>
        <w:footnoteReference w:id="3"/>
      </w:r>
    </w:p>
    <w:p w:rsidR="00226789" w:rsidRPr="0091272D" w:rsidRDefault="00226789" w:rsidP="00226789">
      <w:pPr>
        <w:rPr>
          <w:rFonts w:asciiTheme="minorHAnsi" w:hAnsiTheme="minorHAnsi"/>
          <w:b/>
          <w:bCs/>
          <w:sz w:val="24"/>
          <w:u w:val="single"/>
        </w:rPr>
      </w:pPr>
    </w:p>
    <w:p w:rsidR="00226789" w:rsidRDefault="00226789" w:rsidP="00226789">
      <w:pPr>
        <w:rPr>
          <w:b/>
          <w:bCs/>
          <w:sz w:val="24"/>
          <w:u w:val="single"/>
        </w:rPr>
      </w:pPr>
    </w:p>
    <w:p w:rsidR="00226789" w:rsidRDefault="00226789" w:rsidP="00226789">
      <w:pPr>
        <w:rPr>
          <w:b/>
          <w:bCs/>
          <w:sz w:val="24"/>
          <w:u w:val="single"/>
        </w:rPr>
      </w:pPr>
      <w:r>
        <w:rPr>
          <w:b/>
          <w:noProof/>
          <w:sz w:val="24"/>
          <w:u w:val="single"/>
        </w:rPr>
        <w:drawing>
          <wp:inline distT="0" distB="0" distL="0" distR="0" wp14:anchorId="26B315DA" wp14:editId="3F5A0CDC">
            <wp:extent cx="5486400" cy="4981575"/>
            <wp:effectExtent l="0" t="0" r="0" b="0"/>
            <wp:docPr id="1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6789" w:rsidRDefault="00226789" w:rsidP="00226789">
      <w:pPr>
        <w:rPr>
          <w:b/>
          <w:bCs/>
          <w:sz w:val="24"/>
          <w:u w:val="single"/>
        </w:rPr>
      </w:pPr>
    </w:p>
    <w:p w:rsidR="00226789" w:rsidRPr="00892687" w:rsidRDefault="00226789" w:rsidP="00226789">
      <w:pPr>
        <w:rPr>
          <w:rFonts w:asciiTheme="minorHAnsi" w:hAnsiTheme="minorHAnsi"/>
          <w:bCs/>
          <w:sz w:val="24"/>
        </w:rPr>
      </w:pPr>
    </w:p>
    <w:p w:rsidR="008D1959" w:rsidRPr="008D1959" w:rsidRDefault="008D1959" w:rsidP="008D1959">
      <w:pPr>
        <w:pStyle w:val="BodyText"/>
        <w:jc w:val="both"/>
        <w:rPr>
          <w:rFonts w:asciiTheme="minorHAnsi" w:hAnsiTheme="minorHAnsi"/>
          <w:b/>
          <w:bCs/>
          <w:sz w:val="28"/>
          <w:szCs w:val="28"/>
          <w:u w:val="single"/>
        </w:rPr>
      </w:pPr>
      <w:r w:rsidRPr="008D1959">
        <w:rPr>
          <w:rFonts w:asciiTheme="minorHAnsi" w:hAnsiTheme="minorHAnsi"/>
          <w:b/>
          <w:bCs/>
          <w:sz w:val="28"/>
          <w:szCs w:val="28"/>
          <w:u w:val="single"/>
        </w:rPr>
        <w:t>Annual Consumer Spending</w:t>
      </w:r>
    </w:p>
    <w:p w:rsidR="008D1959" w:rsidRPr="00A16353" w:rsidRDefault="008D1959" w:rsidP="008D1959">
      <w:pPr>
        <w:pStyle w:val="BodyText"/>
        <w:jc w:val="both"/>
        <w:rPr>
          <w:rFonts w:asciiTheme="minorHAnsi" w:hAnsiTheme="minorHAnsi"/>
          <w:bCs/>
        </w:rPr>
      </w:pPr>
    </w:p>
    <w:p w:rsidR="008D1959" w:rsidRDefault="007C47FE" w:rsidP="008D1959">
      <w:pPr>
        <w:pStyle w:val="BodyText"/>
        <w:jc w:val="both"/>
        <w:rPr>
          <w:rFonts w:asciiTheme="minorHAnsi" w:hAnsiTheme="minorHAnsi"/>
          <w:bCs/>
        </w:rPr>
      </w:pPr>
      <w:r>
        <w:rPr>
          <w:rFonts w:asciiTheme="minorHAnsi" w:hAnsiTheme="minorHAnsi"/>
          <w:bCs/>
        </w:rPr>
        <w:t xml:space="preserve">     </w:t>
      </w:r>
      <w:r w:rsidR="000D12D0">
        <w:rPr>
          <w:rFonts w:asciiTheme="minorHAnsi" w:hAnsiTheme="minorHAnsi"/>
          <w:bCs/>
        </w:rPr>
        <w:t xml:space="preserve">The uneasiness about the current economy, fears about the future of the economy, and the prospect of higher taxes might have a dampening effect on consumers’ spending.  When asked to estimate their total amount of consumer spending for 2012, a greater percent of consumers expect to spend less than they spent last year, and fewer consumers expect to spend more than they spent last year.  </w:t>
      </w:r>
      <w:r w:rsidR="008D1959">
        <w:rPr>
          <w:rFonts w:asciiTheme="minorHAnsi" w:hAnsiTheme="minorHAnsi"/>
          <w:bCs/>
        </w:rPr>
        <w:t xml:space="preserve">  </w:t>
      </w:r>
    </w:p>
    <w:p w:rsidR="008D1959" w:rsidRDefault="008D1959" w:rsidP="008D1959">
      <w:pPr>
        <w:pStyle w:val="BodyText"/>
        <w:jc w:val="both"/>
        <w:rPr>
          <w:rFonts w:asciiTheme="minorHAnsi" w:hAnsiTheme="minorHAnsi"/>
          <w:bCs/>
        </w:rPr>
      </w:pPr>
    </w:p>
    <w:p w:rsidR="008D1959" w:rsidRDefault="008D1959" w:rsidP="008D1959">
      <w:pPr>
        <w:pStyle w:val="BodyText"/>
        <w:jc w:val="center"/>
        <w:rPr>
          <w:bCs/>
        </w:rPr>
      </w:pPr>
    </w:p>
    <w:p w:rsidR="008D1959" w:rsidRDefault="008D1959" w:rsidP="008D1959">
      <w:pPr>
        <w:pStyle w:val="BodyText"/>
        <w:jc w:val="center"/>
        <w:rPr>
          <w:bCs/>
        </w:rPr>
      </w:pPr>
      <w:r>
        <w:rPr>
          <w:noProof/>
        </w:rPr>
        <w:drawing>
          <wp:inline distT="0" distB="0" distL="0" distR="0" wp14:anchorId="79C07CD3" wp14:editId="6881AD1A">
            <wp:extent cx="5325626" cy="2441750"/>
            <wp:effectExtent l="0" t="0" r="889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1959" w:rsidRDefault="008D1959" w:rsidP="008D1959">
      <w:pPr>
        <w:pStyle w:val="BodyText"/>
        <w:jc w:val="both"/>
        <w:rPr>
          <w:rFonts w:asciiTheme="minorHAnsi" w:hAnsiTheme="minorHAnsi"/>
          <w:bCs/>
        </w:rPr>
      </w:pPr>
      <w:r>
        <w:rPr>
          <w:rFonts w:asciiTheme="minorHAnsi" w:hAnsiTheme="minorHAnsi"/>
          <w:bCs/>
        </w:rPr>
        <w:t xml:space="preserve">    </w:t>
      </w:r>
    </w:p>
    <w:p w:rsidR="00D51D6B" w:rsidRPr="000D12D0" w:rsidRDefault="00D51D6B" w:rsidP="00D51D6B">
      <w:pPr>
        <w:rPr>
          <w:rFonts w:asciiTheme="minorHAnsi" w:hAnsiTheme="minorHAnsi"/>
          <w:b/>
          <w:bCs/>
          <w:sz w:val="28"/>
          <w:szCs w:val="28"/>
          <w:u w:val="single"/>
        </w:rPr>
      </w:pPr>
      <w:r w:rsidRPr="000D12D0">
        <w:rPr>
          <w:rFonts w:asciiTheme="minorHAnsi" w:hAnsiTheme="minorHAnsi"/>
          <w:b/>
          <w:bCs/>
          <w:sz w:val="28"/>
          <w:szCs w:val="28"/>
          <w:u w:val="single"/>
        </w:rPr>
        <w:t xml:space="preserve">Perceptions of the Economy:  Comparison </w:t>
      </w:r>
      <w:r w:rsidR="00D96C1F" w:rsidRPr="000D12D0">
        <w:rPr>
          <w:rFonts w:asciiTheme="minorHAnsi" w:hAnsiTheme="minorHAnsi"/>
          <w:b/>
          <w:bCs/>
          <w:sz w:val="28"/>
          <w:szCs w:val="28"/>
          <w:u w:val="single"/>
        </w:rPr>
        <w:t>t</w:t>
      </w:r>
      <w:r w:rsidRPr="000D12D0">
        <w:rPr>
          <w:rFonts w:asciiTheme="minorHAnsi" w:hAnsiTheme="minorHAnsi"/>
          <w:b/>
          <w:bCs/>
          <w:sz w:val="28"/>
          <w:szCs w:val="28"/>
          <w:u w:val="single"/>
        </w:rPr>
        <w:t xml:space="preserve">o </w:t>
      </w:r>
      <w:proofErr w:type="gramStart"/>
      <w:r w:rsidRPr="000D12D0">
        <w:rPr>
          <w:rFonts w:asciiTheme="minorHAnsi" w:hAnsiTheme="minorHAnsi"/>
          <w:b/>
          <w:bCs/>
          <w:sz w:val="28"/>
          <w:szCs w:val="28"/>
          <w:u w:val="single"/>
        </w:rPr>
        <w:t>The</w:t>
      </w:r>
      <w:proofErr w:type="gramEnd"/>
      <w:r w:rsidRPr="000D12D0">
        <w:rPr>
          <w:rFonts w:asciiTheme="minorHAnsi" w:hAnsiTheme="minorHAnsi"/>
          <w:b/>
          <w:bCs/>
          <w:sz w:val="28"/>
          <w:szCs w:val="28"/>
          <w:u w:val="single"/>
        </w:rPr>
        <w:t xml:space="preserve"> Nation</w:t>
      </w:r>
    </w:p>
    <w:p w:rsidR="00D51D6B" w:rsidRPr="00A16353" w:rsidRDefault="00D51D6B" w:rsidP="00D51D6B">
      <w:pPr>
        <w:rPr>
          <w:rFonts w:asciiTheme="minorHAnsi" w:hAnsiTheme="minorHAnsi"/>
          <w:b/>
          <w:bCs/>
          <w:sz w:val="24"/>
          <w:u w:val="single"/>
        </w:rPr>
      </w:pPr>
    </w:p>
    <w:p w:rsidR="00D51D6B" w:rsidRDefault="00D51D6B" w:rsidP="00D51D6B">
      <w:pPr>
        <w:pStyle w:val="BodyText"/>
        <w:jc w:val="both"/>
        <w:rPr>
          <w:rFonts w:asciiTheme="minorHAnsi" w:hAnsiTheme="minorHAnsi"/>
        </w:rPr>
      </w:pPr>
      <w:r w:rsidRPr="00A16353">
        <w:rPr>
          <w:rFonts w:asciiTheme="minorHAnsi" w:hAnsiTheme="minorHAnsi"/>
        </w:rPr>
        <w:t xml:space="preserve">     Compared to consumers across the country as a whole, local consumers have traditionally held more positive perceptions of the economy.  </w:t>
      </w:r>
      <w:r w:rsidR="000D12D0">
        <w:rPr>
          <w:rFonts w:asciiTheme="minorHAnsi" w:hAnsiTheme="minorHAnsi"/>
        </w:rPr>
        <w:t>L</w:t>
      </w:r>
      <w:r w:rsidRPr="00A16353">
        <w:rPr>
          <w:rFonts w:asciiTheme="minorHAnsi" w:hAnsiTheme="minorHAnsi"/>
        </w:rPr>
        <w:t xml:space="preserve">ocal consumers are </w:t>
      </w:r>
      <w:r w:rsidR="00955190">
        <w:rPr>
          <w:rFonts w:asciiTheme="minorHAnsi" w:hAnsiTheme="minorHAnsi"/>
        </w:rPr>
        <w:t xml:space="preserve">comparatively </w:t>
      </w:r>
      <w:r w:rsidRPr="00A16353">
        <w:rPr>
          <w:rFonts w:asciiTheme="minorHAnsi" w:hAnsiTheme="minorHAnsi"/>
        </w:rPr>
        <w:t xml:space="preserve">more optimistic about the future of the American economy, are more optimistic about the future of the job market, and are more optimistic about their personal financial situation in the next year.  </w:t>
      </w:r>
    </w:p>
    <w:p w:rsidR="00D51D6B" w:rsidRPr="00A16353" w:rsidRDefault="00D51D6B" w:rsidP="00D51D6B">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D51D6B" w:rsidRPr="00A16353" w:rsidTr="001041CB">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3416F4" w:rsidRPr="00851542" w:rsidRDefault="003416F4" w:rsidP="003416F4">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D51D6B" w:rsidRPr="00851542" w:rsidRDefault="003416F4" w:rsidP="003416F4">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D51D6B" w:rsidRPr="00851542" w:rsidRDefault="00D51D6B" w:rsidP="00DF7588">
            <w:pPr>
              <w:jc w:val="center"/>
              <w:rPr>
                <w:rFonts w:asciiTheme="minorHAnsi" w:hAnsiTheme="minorHAnsi"/>
                <w:bCs/>
                <w:sz w:val="24"/>
                <w:szCs w:val="24"/>
              </w:rPr>
            </w:pP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Nation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Mid.</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Tenn.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r>
      <w:tr w:rsidR="00D51D6B" w:rsidRPr="00A16353" w:rsidTr="00DF7588">
        <w:tc>
          <w:tcPr>
            <w:tcW w:w="6948" w:type="dxa"/>
            <w:tcBorders>
              <w:top w:val="single" w:sz="4" w:space="0" w:color="auto"/>
            </w:tcBorders>
          </w:tcPr>
          <w:p w:rsidR="00D51D6B" w:rsidRPr="00A16353" w:rsidRDefault="00D51D6B" w:rsidP="00DF7588">
            <w:pPr>
              <w:rPr>
                <w:rFonts w:asciiTheme="minorHAnsi" w:hAnsiTheme="minorHAnsi"/>
                <w:sz w:val="24"/>
              </w:rPr>
            </w:pPr>
            <w:r w:rsidRPr="00A16353">
              <w:rPr>
                <w:rFonts w:asciiTheme="minorHAnsi" w:hAnsiTheme="minorHAnsi"/>
                <w:sz w:val="24"/>
              </w:rPr>
              <w:t xml:space="preserve">Business conditions in the </w:t>
            </w:r>
            <w:smartTag w:uri="urn:schemas-microsoft-com:office:smarttags" w:element="place">
              <w:smartTag w:uri="urn:schemas-microsoft-com:office:smarttags" w:element="country-region">
                <w:r w:rsidRPr="00A16353">
                  <w:rPr>
                    <w:rFonts w:asciiTheme="minorHAnsi" w:hAnsiTheme="minorHAnsi"/>
                    <w:sz w:val="24"/>
                  </w:rPr>
                  <w:t>U.S.</w:t>
                </w:r>
              </w:smartTag>
            </w:smartTag>
            <w:r w:rsidRPr="00A16353">
              <w:rPr>
                <w:rFonts w:asciiTheme="minorHAnsi" w:hAnsiTheme="minorHAnsi"/>
                <w:sz w:val="24"/>
              </w:rPr>
              <w:t xml:space="preserve"> are good.</w:t>
            </w:r>
          </w:p>
        </w:tc>
        <w:tc>
          <w:tcPr>
            <w:tcW w:w="900" w:type="dxa"/>
            <w:tcBorders>
              <w:top w:val="single" w:sz="4" w:space="0" w:color="auto"/>
            </w:tcBorders>
          </w:tcPr>
          <w:p w:rsidR="00D51D6B" w:rsidRPr="00A16353" w:rsidRDefault="002C5F55" w:rsidP="002C5F55">
            <w:pPr>
              <w:jc w:val="center"/>
              <w:rPr>
                <w:rFonts w:asciiTheme="minorHAnsi" w:hAnsiTheme="minorHAnsi"/>
                <w:b/>
                <w:sz w:val="24"/>
              </w:rPr>
            </w:pPr>
            <w:r>
              <w:rPr>
                <w:rFonts w:asciiTheme="minorHAnsi" w:hAnsiTheme="minorHAnsi"/>
                <w:b/>
                <w:sz w:val="24"/>
              </w:rPr>
              <w:t>14</w:t>
            </w:r>
            <w:r w:rsidR="00D51D6B" w:rsidRPr="00A16353">
              <w:rPr>
                <w:rStyle w:val="FootnoteReference"/>
                <w:rFonts w:asciiTheme="minorHAnsi" w:hAnsiTheme="minorHAnsi"/>
                <w:b/>
                <w:sz w:val="24"/>
              </w:rPr>
              <w:footnoteReference w:id="4"/>
            </w:r>
          </w:p>
        </w:tc>
        <w:tc>
          <w:tcPr>
            <w:tcW w:w="1008" w:type="dxa"/>
            <w:tcBorders>
              <w:top w:val="single" w:sz="4" w:space="0" w:color="auto"/>
            </w:tcBorders>
          </w:tcPr>
          <w:p w:rsidR="00D51D6B" w:rsidRPr="00A16353" w:rsidRDefault="002F176B" w:rsidP="000F047A">
            <w:pPr>
              <w:jc w:val="center"/>
              <w:rPr>
                <w:rFonts w:asciiTheme="minorHAnsi" w:hAnsiTheme="minorHAnsi"/>
                <w:b/>
                <w:sz w:val="24"/>
              </w:rPr>
            </w:pPr>
            <w:r>
              <w:rPr>
                <w:rFonts w:asciiTheme="minorHAnsi" w:hAnsiTheme="minorHAnsi"/>
                <w:b/>
                <w:sz w:val="24"/>
              </w:rPr>
              <w:t>14</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 xml:space="preserve">Six months from now, business conditions in the </w:t>
            </w:r>
            <w:smartTag w:uri="urn:schemas-microsoft-com:office:smarttags" w:element="place">
              <w:smartTag w:uri="urn:schemas-microsoft-com:office:smarttags" w:element="country-region">
                <w:r w:rsidRPr="00A16353">
                  <w:rPr>
                    <w:rFonts w:asciiTheme="minorHAnsi" w:hAnsiTheme="minorHAnsi"/>
                    <w:sz w:val="24"/>
                  </w:rPr>
                  <w:t>U.S.</w:t>
                </w:r>
              </w:smartTag>
            </w:smartTag>
            <w:r w:rsidRPr="00A16353">
              <w:rPr>
                <w:rFonts w:asciiTheme="minorHAnsi" w:hAnsiTheme="minorHAnsi"/>
                <w:sz w:val="24"/>
              </w:rPr>
              <w:t xml:space="preserve"> will be better.</w:t>
            </w:r>
          </w:p>
        </w:tc>
        <w:tc>
          <w:tcPr>
            <w:tcW w:w="900" w:type="dxa"/>
            <w:shd w:val="clear" w:color="auto" w:fill="DBE5F1" w:themeFill="accent1" w:themeFillTint="33"/>
          </w:tcPr>
          <w:p w:rsidR="00D51D6B" w:rsidRPr="00A16353" w:rsidRDefault="002C5F55" w:rsidP="002C5F55">
            <w:pPr>
              <w:jc w:val="center"/>
              <w:rPr>
                <w:rFonts w:asciiTheme="minorHAnsi" w:hAnsiTheme="minorHAnsi"/>
                <w:b/>
                <w:sz w:val="24"/>
              </w:rPr>
            </w:pPr>
            <w:r>
              <w:rPr>
                <w:rFonts w:asciiTheme="minorHAnsi" w:hAnsiTheme="minorHAnsi"/>
                <w:b/>
                <w:sz w:val="24"/>
              </w:rPr>
              <w:t>22</w:t>
            </w:r>
          </w:p>
        </w:tc>
        <w:tc>
          <w:tcPr>
            <w:tcW w:w="1008" w:type="dxa"/>
            <w:shd w:val="clear" w:color="auto" w:fill="DBE5F1" w:themeFill="accent1" w:themeFillTint="33"/>
          </w:tcPr>
          <w:p w:rsidR="00D51D6B" w:rsidRPr="00A16353" w:rsidRDefault="002F176B" w:rsidP="0022136E">
            <w:pPr>
              <w:jc w:val="center"/>
              <w:rPr>
                <w:rFonts w:asciiTheme="minorHAnsi" w:hAnsiTheme="minorHAnsi"/>
                <w:b/>
                <w:sz w:val="24"/>
              </w:rPr>
            </w:pPr>
            <w:r>
              <w:rPr>
                <w:rFonts w:asciiTheme="minorHAnsi" w:hAnsiTheme="minorHAnsi"/>
                <w:b/>
                <w:sz w:val="24"/>
              </w:rPr>
              <w:t>35</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Jobs are easy to find (plentiful).</w:t>
            </w:r>
          </w:p>
        </w:tc>
        <w:tc>
          <w:tcPr>
            <w:tcW w:w="900" w:type="dxa"/>
          </w:tcPr>
          <w:p w:rsidR="00D51D6B" w:rsidRPr="00A16353" w:rsidRDefault="002C5F55" w:rsidP="002C5F55">
            <w:pPr>
              <w:jc w:val="center"/>
              <w:rPr>
                <w:rFonts w:asciiTheme="minorHAnsi" w:hAnsiTheme="minorHAnsi"/>
                <w:b/>
                <w:sz w:val="24"/>
              </w:rPr>
            </w:pPr>
            <w:r>
              <w:rPr>
                <w:rFonts w:asciiTheme="minorHAnsi" w:hAnsiTheme="minorHAnsi"/>
                <w:b/>
                <w:sz w:val="24"/>
              </w:rPr>
              <w:t>11</w:t>
            </w:r>
          </w:p>
        </w:tc>
        <w:tc>
          <w:tcPr>
            <w:tcW w:w="1008" w:type="dxa"/>
          </w:tcPr>
          <w:p w:rsidR="00D51D6B" w:rsidRPr="00A16353" w:rsidRDefault="002F176B" w:rsidP="000F047A">
            <w:pPr>
              <w:jc w:val="center"/>
              <w:rPr>
                <w:rFonts w:asciiTheme="minorHAnsi" w:hAnsiTheme="minorHAnsi"/>
                <w:b/>
                <w:sz w:val="24"/>
              </w:rPr>
            </w:pPr>
            <w:r>
              <w:rPr>
                <w:rFonts w:asciiTheme="minorHAnsi" w:hAnsiTheme="minorHAnsi"/>
                <w:b/>
                <w:sz w:val="24"/>
              </w:rPr>
              <w:t>7</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D51D6B" w:rsidRPr="00A16353" w:rsidRDefault="002C5F55" w:rsidP="002C5F55">
            <w:pPr>
              <w:jc w:val="center"/>
              <w:rPr>
                <w:rFonts w:asciiTheme="minorHAnsi" w:hAnsiTheme="minorHAnsi"/>
                <w:b/>
                <w:sz w:val="24"/>
              </w:rPr>
            </w:pPr>
            <w:r>
              <w:rPr>
                <w:rFonts w:asciiTheme="minorHAnsi" w:hAnsiTheme="minorHAnsi"/>
                <w:b/>
                <w:sz w:val="24"/>
              </w:rPr>
              <w:t>20</w:t>
            </w:r>
          </w:p>
        </w:tc>
        <w:tc>
          <w:tcPr>
            <w:tcW w:w="1008" w:type="dxa"/>
            <w:shd w:val="clear" w:color="auto" w:fill="DBE5F1" w:themeFill="accent1" w:themeFillTint="33"/>
          </w:tcPr>
          <w:p w:rsidR="00D51D6B" w:rsidRPr="00A16353" w:rsidRDefault="002F176B" w:rsidP="000F047A">
            <w:pPr>
              <w:jc w:val="center"/>
              <w:rPr>
                <w:rFonts w:asciiTheme="minorHAnsi" w:hAnsiTheme="minorHAnsi"/>
                <w:b/>
                <w:sz w:val="24"/>
              </w:rPr>
            </w:pPr>
            <w:r>
              <w:rPr>
                <w:rFonts w:asciiTheme="minorHAnsi" w:hAnsiTheme="minorHAnsi"/>
                <w:b/>
                <w:sz w:val="24"/>
              </w:rPr>
              <w:t>33</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D51D6B" w:rsidRPr="00A16353" w:rsidRDefault="002C5F55" w:rsidP="002C5F55">
            <w:pPr>
              <w:jc w:val="center"/>
              <w:rPr>
                <w:rFonts w:asciiTheme="minorHAnsi" w:hAnsiTheme="minorHAnsi"/>
                <w:b/>
                <w:sz w:val="24"/>
              </w:rPr>
            </w:pPr>
            <w:r>
              <w:rPr>
                <w:rFonts w:asciiTheme="minorHAnsi" w:hAnsiTheme="minorHAnsi"/>
                <w:b/>
                <w:sz w:val="24"/>
              </w:rPr>
              <w:t>16</w:t>
            </w:r>
          </w:p>
        </w:tc>
        <w:tc>
          <w:tcPr>
            <w:tcW w:w="1008" w:type="dxa"/>
          </w:tcPr>
          <w:p w:rsidR="00D51D6B" w:rsidRPr="00A16353" w:rsidRDefault="002F176B" w:rsidP="000F047A">
            <w:pPr>
              <w:jc w:val="center"/>
              <w:rPr>
                <w:rFonts w:asciiTheme="minorHAnsi" w:hAnsiTheme="minorHAnsi"/>
                <w:b/>
                <w:sz w:val="24"/>
              </w:rPr>
            </w:pPr>
            <w:r>
              <w:rPr>
                <w:rFonts w:asciiTheme="minorHAnsi" w:hAnsiTheme="minorHAnsi"/>
                <w:b/>
                <w:sz w:val="24"/>
              </w:rPr>
              <w:t>31</w:t>
            </w:r>
          </w:p>
        </w:tc>
      </w:tr>
    </w:tbl>
    <w:p w:rsidR="00993846" w:rsidRDefault="00993846" w:rsidP="00D51D6B">
      <w:pPr>
        <w:pStyle w:val="BodyText"/>
        <w:jc w:val="both"/>
        <w:rPr>
          <w:rFonts w:asciiTheme="minorHAnsi" w:hAnsiTheme="minorHAnsi"/>
          <w:b/>
          <w:bCs/>
          <w:u w:val="single"/>
        </w:rPr>
      </w:pPr>
    </w:p>
    <w:p w:rsidR="00E10F3A" w:rsidRDefault="00E10F3A" w:rsidP="00D51D6B">
      <w:pPr>
        <w:pStyle w:val="BodyText"/>
        <w:jc w:val="both"/>
        <w:rPr>
          <w:rFonts w:asciiTheme="minorHAnsi" w:hAnsiTheme="minorHAnsi"/>
          <w:b/>
          <w:bCs/>
          <w:u w:val="single"/>
        </w:rPr>
      </w:pPr>
    </w:p>
    <w:p w:rsidR="00D51D6B" w:rsidRPr="000D12D0" w:rsidRDefault="00D51D6B" w:rsidP="00D51D6B">
      <w:pPr>
        <w:pStyle w:val="BodyText"/>
        <w:jc w:val="both"/>
        <w:rPr>
          <w:rFonts w:asciiTheme="minorHAnsi" w:hAnsiTheme="minorHAnsi"/>
          <w:b/>
          <w:bCs/>
          <w:sz w:val="28"/>
          <w:szCs w:val="28"/>
          <w:u w:val="single"/>
        </w:rPr>
      </w:pPr>
      <w:r w:rsidRPr="000D12D0">
        <w:rPr>
          <w:rFonts w:asciiTheme="minorHAnsi" w:hAnsiTheme="minorHAnsi"/>
          <w:b/>
          <w:bCs/>
          <w:sz w:val="28"/>
          <w:szCs w:val="28"/>
          <w:u w:val="single"/>
        </w:rPr>
        <w:t>The Psychology of Consumers</w:t>
      </w:r>
    </w:p>
    <w:p w:rsidR="00D51D6B" w:rsidRPr="00A16353" w:rsidRDefault="00D51D6B" w:rsidP="00D51D6B">
      <w:pPr>
        <w:jc w:val="both"/>
        <w:rPr>
          <w:rFonts w:asciiTheme="minorHAnsi" w:hAnsiTheme="minorHAnsi"/>
          <w:bCs/>
          <w:sz w:val="24"/>
          <w:szCs w:val="24"/>
        </w:rPr>
      </w:pPr>
    </w:p>
    <w:p w:rsidR="00D51D6B" w:rsidRPr="00A16353" w:rsidRDefault="00D51D6B" w:rsidP="00D51D6B">
      <w:pPr>
        <w:pStyle w:val="BodyText"/>
        <w:jc w:val="both"/>
        <w:rPr>
          <w:rFonts w:asciiTheme="minorHAnsi" w:hAnsiTheme="minorHAnsi"/>
          <w:bCs/>
        </w:rPr>
      </w:pPr>
      <w:r w:rsidRPr="00A16353">
        <w:rPr>
          <w:rFonts w:asciiTheme="minorHAnsi" w:hAnsiTheme="minorHAnsi"/>
          <w:szCs w:val="24"/>
        </w:rPr>
        <w:t xml:space="preserve">     The</w:t>
      </w:r>
      <w:r w:rsidRPr="00A16353">
        <w:rPr>
          <w:rFonts w:asciiTheme="minorHAnsi" w:hAnsiTheme="minorHAnsi"/>
        </w:rPr>
        <w:t xml:space="preserve"> psychology of consumers can have dramatic effects on the future of the economy.  Consumer spending makes up two-thirds of the American economy.  Decreases in consumer confidence that translate into reduced purchasing patterns can have significant negative effects on the economy.  Conversely, increases in consumer confidence that translate into accelerated consumer spending can have significant positive effects on the economy.  When consumers begin to feel comfortable about the future of the economy and their own personal financial situation, they will increase their spending.  </w:t>
      </w:r>
      <w:r w:rsidRPr="00A16353">
        <w:rPr>
          <w:rFonts w:asciiTheme="minorHAnsi" w:hAnsiTheme="minorHAnsi"/>
          <w:bCs/>
        </w:rPr>
        <w:t xml:space="preserve">Such spending would then help to grow the economy as </w:t>
      </w:r>
      <w:r w:rsidR="00761515">
        <w:rPr>
          <w:rFonts w:asciiTheme="minorHAnsi" w:hAnsiTheme="minorHAnsi"/>
          <w:bCs/>
        </w:rPr>
        <w:t xml:space="preserve">manufacturers begin to produce more and retailers begin to </w:t>
      </w:r>
      <w:r w:rsidRPr="00A16353">
        <w:rPr>
          <w:rFonts w:asciiTheme="minorHAnsi" w:hAnsiTheme="minorHAnsi"/>
          <w:bCs/>
        </w:rPr>
        <w:t>fill jobs to meet increased consumer demand.</w:t>
      </w:r>
      <w:r w:rsidR="00315469" w:rsidRPr="00A16353">
        <w:rPr>
          <w:rFonts w:asciiTheme="minorHAnsi" w:hAnsiTheme="minorHAnsi"/>
          <w:bCs/>
        </w:rPr>
        <w:t xml:space="preserve">  This type of self-fulfilling prophecy is illustrated below in the </w:t>
      </w:r>
      <w:r w:rsidR="00315469" w:rsidRPr="00B0737F">
        <w:rPr>
          <w:rFonts w:asciiTheme="minorHAnsi" w:hAnsiTheme="minorHAnsi"/>
          <w:bCs/>
          <w:i/>
        </w:rPr>
        <w:t>Consumer Confidence Cycle</w:t>
      </w:r>
      <w:r w:rsidR="00315469" w:rsidRPr="00A16353">
        <w:rPr>
          <w:rFonts w:asciiTheme="minorHAnsi" w:hAnsiTheme="minorHAnsi"/>
          <w:bCs/>
        </w:rPr>
        <w:t>.</w:t>
      </w:r>
      <w:r w:rsidRPr="00A16353">
        <w:rPr>
          <w:rFonts w:asciiTheme="minorHAnsi" w:hAnsiTheme="minorHAnsi"/>
          <w:bCs/>
        </w:rPr>
        <w:t xml:space="preserve"> </w:t>
      </w:r>
      <w:r w:rsidR="006B3840">
        <w:rPr>
          <w:rFonts w:asciiTheme="minorHAnsi" w:hAnsiTheme="minorHAnsi"/>
          <w:bCs/>
        </w:rPr>
        <w:t xml:space="preserve">    </w:t>
      </w:r>
    </w:p>
    <w:p w:rsidR="00D51D6B" w:rsidRPr="00A16353" w:rsidRDefault="00D51D6B" w:rsidP="00D51D6B">
      <w:pPr>
        <w:rPr>
          <w:rFonts w:asciiTheme="minorHAnsi" w:hAnsiTheme="minorHAnsi"/>
          <w:bCs/>
          <w:sz w:val="24"/>
        </w:rPr>
      </w:pPr>
    </w:p>
    <w:p w:rsidR="00315469" w:rsidRDefault="00315469" w:rsidP="00D75F8B">
      <w:pPr>
        <w:rPr>
          <w:bCs/>
          <w:sz w:val="24"/>
        </w:rPr>
      </w:pPr>
    </w:p>
    <w:p w:rsidR="00E1772C" w:rsidRDefault="00315469" w:rsidP="00D75F8B">
      <w:pPr>
        <w:rPr>
          <w:bCs/>
          <w:sz w:val="24"/>
        </w:rPr>
      </w:pPr>
      <w:r>
        <w:rPr>
          <w:bCs/>
          <w:sz w:val="24"/>
        </w:rPr>
        <w:br w:type="column"/>
      </w:r>
    </w:p>
    <w:p w:rsidR="00315469" w:rsidRPr="00B0737F" w:rsidRDefault="00315469" w:rsidP="00B0737F">
      <w:pPr>
        <w:jc w:val="center"/>
        <w:rPr>
          <w:rFonts w:asciiTheme="minorHAnsi" w:hAnsiTheme="minorHAnsi"/>
          <w:b/>
          <w:bCs/>
          <w:sz w:val="28"/>
          <w:szCs w:val="28"/>
        </w:rPr>
      </w:pPr>
      <w:r w:rsidRPr="00B0737F">
        <w:rPr>
          <w:rFonts w:asciiTheme="minorHAnsi" w:hAnsiTheme="minorHAnsi"/>
          <w:b/>
          <w:bCs/>
          <w:sz w:val="28"/>
          <w:szCs w:val="28"/>
        </w:rPr>
        <w:t>The Self-Fulfilling Prophecy of the Consumer Confidence Cycle</w:t>
      </w:r>
    </w:p>
    <w:p w:rsidR="00315469" w:rsidRPr="00A16353" w:rsidRDefault="00315469" w:rsidP="00D75F8B">
      <w:pPr>
        <w:rPr>
          <w:rFonts w:asciiTheme="minorHAnsi" w:hAnsiTheme="minorHAnsi"/>
          <w:bCs/>
          <w:sz w:val="24"/>
        </w:rPr>
      </w:pPr>
    </w:p>
    <w:p w:rsidR="00315469" w:rsidRPr="00A16353" w:rsidRDefault="00315469" w:rsidP="00D75F8B">
      <w:pPr>
        <w:rPr>
          <w:rFonts w:asciiTheme="minorHAnsi" w:hAnsiTheme="minorHAnsi"/>
          <w:bCs/>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
        <w:gridCol w:w="4320"/>
      </w:tblGrid>
      <w:tr w:rsidR="00A16353" w:rsidRPr="00A16353" w:rsidTr="00DF7588">
        <w:tc>
          <w:tcPr>
            <w:tcW w:w="4428"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Optimism</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Pessimism</w:t>
            </w:r>
          </w:p>
        </w:tc>
      </w:tr>
      <w:tr w:rsidR="00315469" w:rsidRPr="00A16353" w:rsidTr="00DF7588">
        <w:tc>
          <w:tcPr>
            <w:tcW w:w="4428"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Cs/>
                <w:sz w:val="22"/>
                <w:szCs w:val="22"/>
              </w:rPr>
            </w:pPr>
          </w:p>
        </w:tc>
        <w:tc>
          <w:tcPr>
            <w:tcW w:w="4320"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more employees and purchase more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fewer employees and purchase less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more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fewer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more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fewer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Growing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Slowing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bl>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105183" w:rsidRPr="00F750BC" w:rsidRDefault="003C133F" w:rsidP="00105183">
      <w:pPr>
        <w:rPr>
          <w:rFonts w:asciiTheme="minorHAnsi" w:hAnsiTheme="minorHAnsi"/>
          <w:b/>
          <w:bCs/>
          <w:sz w:val="28"/>
          <w:szCs w:val="28"/>
          <w:u w:val="single"/>
        </w:rPr>
      </w:pPr>
      <w:r w:rsidRPr="00F750BC">
        <w:rPr>
          <w:rFonts w:asciiTheme="minorHAnsi" w:hAnsiTheme="minorHAnsi"/>
          <w:bCs/>
          <w:sz w:val="28"/>
          <w:szCs w:val="28"/>
        </w:rPr>
        <w:t xml:space="preserve"> </w:t>
      </w:r>
      <w:r w:rsidR="00105183" w:rsidRPr="00F750BC">
        <w:rPr>
          <w:rFonts w:asciiTheme="minorHAnsi" w:hAnsiTheme="minorHAnsi"/>
          <w:b/>
          <w:bCs/>
          <w:sz w:val="28"/>
          <w:szCs w:val="28"/>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with</w:t>
      </w:r>
      <w:r w:rsidR="003E179E" w:rsidRPr="00A16353">
        <w:rPr>
          <w:rFonts w:asciiTheme="minorHAnsi" w:hAnsiTheme="minorHAnsi"/>
          <w:sz w:val="24"/>
        </w:rPr>
        <w:t xml:space="preserve"> </w:t>
      </w:r>
      <w:r w:rsidR="000D12D0">
        <w:rPr>
          <w:rFonts w:asciiTheme="minorHAnsi" w:hAnsiTheme="minorHAnsi"/>
          <w:sz w:val="24"/>
        </w:rPr>
        <w:t>422</w:t>
      </w:r>
      <w:r w:rsidR="005326A4">
        <w:rPr>
          <w:rFonts w:asciiTheme="minorHAnsi" w:hAnsiTheme="minorHAnsi"/>
          <w:sz w:val="24"/>
        </w:rPr>
        <w:t xml:space="preserve"> </w:t>
      </w:r>
      <w:r w:rsidRPr="00A16353">
        <w:rPr>
          <w:rFonts w:asciiTheme="minorHAnsi" w:hAnsiTheme="minorHAnsi"/>
          <w:sz w:val="24"/>
        </w:rPr>
        <w:t>randomly selected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conducted </w:t>
      </w:r>
      <w:r w:rsidR="009C4C27" w:rsidRPr="00A16353">
        <w:rPr>
          <w:rFonts w:asciiTheme="minorHAnsi" w:hAnsiTheme="minorHAnsi"/>
          <w:sz w:val="24"/>
        </w:rPr>
        <w:t xml:space="preserve">between </w:t>
      </w:r>
      <w:r w:rsidR="001F7ED1" w:rsidRPr="00A16353">
        <w:rPr>
          <w:rFonts w:asciiTheme="minorHAnsi" w:hAnsiTheme="minorHAnsi"/>
          <w:sz w:val="24"/>
        </w:rPr>
        <w:t>4:</w:t>
      </w:r>
      <w:r w:rsidR="00454711">
        <w:rPr>
          <w:rFonts w:asciiTheme="minorHAnsi" w:hAnsiTheme="minorHAnsi"/>
          <w:sz w:val="24"/>
        </w:rPr>
        <w:t>3</w:t>
      </w:r>
      <w:r w:rsidR="001F7ED1" w:rsidRPr="00A16353">
        <w:rPr>
          <w:rFonts w:asciiTheme="minorHAnsi" w:hAnsiTheme="minorHAnsi"/>
          <w:sz w:val="24"/>
        </w:rPr>
        <w:t>0 pm an</w:t>
      </w:r>
      <w:r w:rsidR="00E32844" w:rsidRPr="00A16353">
        <w:rPr>
          <w:rFonts w:asciiTheme="minorHAnsi" w:hAnsiTheme="minorHAnsi"/>
          <w:sz w:val="24"/>
        </w:rPr>
        <w:t xml:space="preserve">d </w:t>
      </w:r>
      <w:r w:rsidR="002974AD" w:rsidRPr="00A16353">
        <w:rPr>
          <w:rFonts w:asciiTheme="minorHAnsi" w:hAnsiTheme="minorHAnsi"/>
          <w:sz w:val="24"/>
        </w:rPr>
        <w:t>8:30</w:t>
      </w:r>
      <w:r w:rsidR="00E32844" w:rsidRPr="00A16353">
        <w:rPr>
          <w:rFonts w:asciiTheme="minorHAnsi" w:hAnsiTheme="minorHAnsi"/>
          <w:sz w:val="24"/>
        </w:rPr>
        <w:t xml:space="preserve"> </w:t>
      </w:r>
      <w:r w:rsidRPr="00A16353">
        <w:rPr>
          <w:rFonts w:asciiTheme="minorHAnsi" w:hAnsiTheme="minorHAnsi"/>
          <w:sz w:val="24"/>
        </w:rPr>
        <w:t xml:space="preserve">pm </w:t>
      </w:r>
      <w:r w:rsidR="00073B05" w:rsidRPr="00A16353">
        <w:rPr>
          <w:rFonts w:asciiTheme="minorHAnsi" w:hAnsiTheme="minorHAnsi"/>
          <w:sz w:val="24"/>
        </w:rPr>
        <w:t xml:space="preserve">on </w:t>
      </w:r>
      <w:r w:rsidR="00FF2ECC">
        <w:rPr>
          <w:rFonts w:asciiTheme="minorHAnsi" w:hAnsiTheme="minorHAnsi"/>
          <w:sz w:val="24"/>
        </w:rPr>
        <w:t xml:space="preserve">Tuesday, </w:t>
      </w:r>
      <w:r w:rsidR="00626C49">
        <w:rPr>
          <w:rFonts w:asciiTheme="minorHAnsi" w:hAnsiTheme="minorHAnsi"/>
          <w:sz w:val="24"/>
        </w:rPr>
        <w:t>November 27</w:t>
      </w:r>
      <w:r w:rsidR="00FF2ECC">
        <w:rPr>
          <w:rFonts w:asciiTheme="minorHAnsi" w:hAnsiTheme="minorHAnsi"/>
          <w:sz w:val="24"/>
        </w:rPr>
        <w:t xml:space="preserve"> and Thursday, </w:t>
      </w:r>
      <w:r w:rsidR="00626C49">
        <w:rPr>
          <w:rFonts w:asciiTheme="minorHAnsi" w:hAnsiTheme="minorHAnsi"/>
          <w:sz w:val="24"/>
        </w:rPr>
        <w:t>November 29</w:t>
      </w:r>
      <w:r w:rsidR="002974AD" w:rsidRPr="00A16353">
        <w:rPr>
          <w:rFonts w:asciiTheme="minorHAnsi" w:hAnsiTheme="minorHAnsi"/>
          <w:sz w:val="24"/>
        </w:rPr>
        <w:t xml:space="preserve">.  </w:t>
      </w:r>
      <w:r w:rsidRPr="00A16353">
        <w:rPr>
          <w:rFonts w:asciiTheme="minorHAnsi" w:hAnsiTheme="minorHAnsi"/>
          <w:sz w:val="24"/>
        </w:rPr>
        <w:t>With a sample of</w:t>
      </w:r>
      <w:r w:rsidR="00741192">
        <w:rPr>
          <w:rFonts w:asciiTheme="minorHAnsi" w:hAnsiTheme="minorHAnsi"/>
          <w:sz w:val="24"/>
        </w:rPr>
        <w:t xml:space="preserve"> </w:t>
      </w:r>
      <w:r w:rsidR="000D12D0">
        <w:rPr>
          <w:rFonts w:asciiTheme="minorHAnsi" w:hAnsiTheme="minorHAnsi"/>
          <w:sz w:val="24"/>
        </w:rPr>
        <w:t>422</w:t>
      </w:r>
      <w:r w:rsidR="001E2C62">
        <w:rPr>
          <w:rFonts w:asciiTheme="minorHAnsi" w:hAnsiTheme="minorHAnsi"/>
          <w:sz w:val="24"/>
        </w:rPr>
        <w:t xml:space="preserve"> </w:t>
      </w:r>
      <w:r w:rsidRPr="00A16353">
        <w:rPr>
          <w:rFonts w:asciiTheme="minorHAnsi" w:hAnsiTheme="minorHAnsi"/>
          <w:sz w:val="24"/>
        </w:rPr>
        <w:t>people, we can say with 95% confidence that the amount of survey error due to taking a random sample instead of surveying all members of the population is ±</w:t>
      </w:r>
      <w:r w:rsidR="000D12D0">
        <w:rPr>
          <w:rFonts w:asciiTheme="minorHAnsi" w:hAnsiTheme="minorHAnsi"/>
          <w:sz w:val="24"/>
        </w:rPr>
        <w:t xml:space="preserve"> 4.8</w:t>
      </w:r>
      <w:r w:rsidR="00FF2BE6" w:rsidRPr="00A16353">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 xml:space="preserve">additional bias or error into the results.  Results from the Middle Tennessee </w:t>
      </w:r>
      <w:r w:rsidR="001C6BB5">
        <w:rPr>
          <w:rFonts w:asciiTheme="minorHAnsi" w:hAnsiTheme="minorHAnsi"/>
          <w:sz w:val="24"/>
        </w:rPr>
        <w:t>C</w:t>
      </w:r>
      <w:r w:rsidRPr="00A16353">
        <w:rPr>
          <w:rFonts w:asciiTheme="minorHAnsi" w:hAnsiTheme="minorHAnsi"/>
          <w:sz w:val="24"/>
        </w:rPr>
        <w:t xml:space="preserve">onsumer </w:t>
      </w:r>
      <w:r w:rsidR="001C6BB5">
        <w:rPr>
          <w:rFonts w:asciiTheme="minorHAnsi" w:hAnsiTheme="minorHAnsi"/>
          <w:sz w:val="24"/>
        </w:rPr>
        <w:t>O</w:t>
      </w:r>
      <w:r w:rsidR="005E61A0">
        <w:rPr>
          <w:rFonts w:asciiTheme="minorHAnsi" w:hAnsiTheme="minorHAnsi"/>
          <w:sz w:val="24"/>
        </w:rPr>
        <w:t xml:space="preserve">utlook </w:t>
      </w:r>
      <w:r w:rsidR="001C6BB5">
        <w:rPr>
          <w:rFonts w:asciiTheme="minorHAnsi" w:hAnsiTheme="minorHAnsi"/>
          <w:sz w:val="24"/>
        </w:rPr>
        <w:t>S</w:t>
      </w:r>
      <w:r w:rsidRPr="00A16353">
        <w:rPr>
          <w:rFonts w:asciiTheme="minorHAnsi" w:hAnsiTheme="minorHAnsi"/>
          <w:sz w:val="24"/>
        </w:rPr>
        <w:t>urveys can be compared to national consumer surveys published monthly by the Conference Board (</w:t>
      </w:r>
      <w:hyperlink r:id="rId21"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1C6BB5">
        <w:rPr>
          <w:rFonts w:asciiTheme="minorHAnsi" w:hAnsiTheme="minorHAnsi"/>
          <w:sz w:val="24"/>
        </w:rPr>
        <w:t xml:space="preserve">MTSU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22"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A16353" w:rsidRDefault="00993846" w:rsidP="009E29D4">
      <w:pPr>
        <w:jc w:val="both"/>
        <w:rPr>
          <w:rFonts w:asciiTheme="minorHAnsi" w:hAnsiTheme="minorHAnsi"/>
          <w:sz w:val="24"/>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w:t>
      </w:r>
      <w:r w:rsidR="00A07B8D">
        <w:rPr>
          <w:rFonts w:asciiTheme="minorHAnsi" w:hAnsiTheme="minorHAnsi"/>
          <w:sz w:val="24"/>
        </w:rPr>
        <w:t xml:space="preserve">Consumer </w:t>
      </w:r>
      <w:r w:rsidR="006C267E">
        <w:rPr>
          <w:rFonts w:asciiTheme="minorHAnsi" w:hAnsiTheme="minorHAnsi"/>
          <w:sz w:val="24"/>
        </w:rPr>
        <w:t>O</w:t>
      </w:r>
      <w:r w:rsidR="00A07B8D">
        <w:rPr>
          <w:rFonts w:asciiTheme="minorHAnsi" w:hAnsiTheme="minorHAnsi"/>
          <w:sz w:val="24"/>
        </w:rPr>
        <w:t xml:space="preserve">utlook </w:t>
      </w:r>
      <w:r w:rsidR="006C267E">
        <w:rPr>
          <w:rFonts w:asciiTheme="minorHAnsi" w:hAnsiTheme="minorHAnsi"/>
          <w:sz w:val="24"/>
        </w:rPr>
        <w:t>I</w:t>
      </w:r>
      <w:r w:rsidR="00A07B8D">
        <w:rPr>
          <w:rFonts w:asciiTheme="minorHAnsi" w:hAnsiTheme="minorHAnsi"/>
          <w:sz w:val="24"/>
        </w:rPr>
        <w:t>ndex</w:t>
      </w:r>
      <w:r w:rsidRPr="00A16353">
        <w:rPr>
          <w:rFonts w:asciiTheme="minorHAnsi" w:hAnsiTheme="minorHAnsi"/>
          <w:sz w:val="24"/>
        </w:rPr>
        <w:t xml:space="preserve"> is based on all 11</w:t>
      </w:r>
      <w:r w:rsidR="00EA6EAC" w:rsidRPr="00A16353">
        <w:rPr>
          <w:rFonts w:asciiTheme="minorHAnsi" w:hAnsiTheme="minorHAnsi"/>
          <w:sz w:val="24"/>
        </w:rPr>
        <w:t xml:space="preserve"> </w:t>
      </w:r>
      <w:r w:rsidRPr="00A16353">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A16353">
        <w:rPr>
          <w:rFonts w:asciiTheme="minorHAnsi" w:hAnsiTheme="minorHAnsi"/>
          <w:sz w:val="24"/>
        </w:rPr>
        <w:t xml:space="preserve">Current </w:t>
      </w:r>
      <w:r w:rsidRPr="00A16353">
        <w:rPr>
          <w:rFonts w:asciiTheme="minorHAnsi" w:hAnsiTheme="minorHAnsi"/>
          <w:sz w:val="24"/>
        </w:rPr>
        <w:t xml:space="preserve">Situation Index is based on questions 1, 3, 5, and 7.  The Future Expectations Index is based on questions 2, 4, 6, and 8.  The Purchasing Index is based on questions 9, 10, and 11. </w:t>
      </w:r>
    </w:p>
    <w:p w:rsidR="00A25ED9" w:rsidRPr="00A16353"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F750BC" w:rsidRDefault="00105183" w:rsidP="00105183">
      <w:pPr>
        <w:rPr>
          <w:rFonts w:asciiTheme="minorHAnsi" w:hAnsiTheme="minorHAnsi"/>
          <w:b/>
          <w:bCs/>
          <w:sz w:val="28"/>
          <w:szCs w:val="28"/>
          <w:u w:val="single"/>
        </w:rPr>
      </w:pPr>
      <w:r w:rsidRPr="00F750BC">
        <w:rPr>
          <w:rFonts w:asciiTheme="minorHAnsi" w:hAnsiTheme="minorHAnsi"/>
          <w:b/>
          <w:bCs/>
          <w:sz w:val="28"/>
          <w:szCs w:val="28"/>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 xml:space="preserve">he Management and Marketing Department at </w:t>
      </w:r>
      <w:smartTag w:uri="urn:schemas-microsoft-com:office:smarttags" w:element="place">
        <w:smartTag w:uri="urn:schemas-microsoft-com:office:smarttags" w:element="PlaceName">
          <w:r w:rsidRPr="00A16353">
            <w:rPr>
              <w:rFonts w:asciiTheme="minorHAnsi" w:hAnsiTheme="minorHAnsi"/>
              <w:sz w:val="24"/>
            </w:rPr>
            <w:t>Middle</w:t>
          </w:r>
        </w:smartTag>
        <w:r w:rsidRPr="00A16353">
          <w:rPr>
            <w:rFonts w:asciiTheme="minorHAnsi" w:hAnsiTheme="minorHAnsi"/>
            <w:sz w:val="24"/>
          </w:rPr>
          <w:t xml:space="preserve"> </w:t>
        </w:r>
        <w:smartTag w:uri="urn:schemas-microsoft-com:office:smarttags" w:element="PlaceName">
          <w:r w:rsidRPr="00A16353">
            <w:rPr>
              <w:rFonts w:asciiTheme="minorHAnsi" w:hAnsiTheme="minorHAnsi"/>
              <w:sz w:val="24"/>
            </w:rPr>
            <w:t>Tennessee</w:t>
          </w:r>
        </w:smartTag>
        <w:r w:rsidRPr="00A16353">
          <w:rPr>
            <w:rFonts w:asciiTheme="minorHAnsi" w:hAnsiTheme="minorHAnsi"/>
            <w:sz w:val="24"/>
          </w:rPr>
          <w:t xml:space="preserve"> </w:t>
        </w:r>
        <w:smartTag w:uri="urn:schemas-microsoft-com:office:smarttags" w:element="PlaceType">
          <w:r w:rsidRPr="00A16353">
            <w:rPr>
              <w:rFonts w:asciiTheme="minorHAnsi" w:hAnsiTheme="minorHAnsi"/>
              <w:sz w:val="24"/>
            </w:rPr>
            <w:t>State</w:t>
          </w:r>
        </w:smartTag>
        <w:r w:rsidRPr="00A16353">
          <w:rPr>
            <w:rFonts w:asciiTheme="minorHAnsi" w:hAnsiTheme="minorHAnsi"/>
            <w:sz w:val="24"/>
          </w:rPr>
          <w:t xml:space="preserve"> </w:t>
        </w:r>
        <w:smartTag w:uri="urn:schemas-microsoft-com:office:smarttags" w:element="PlaceType">
          <w:r w:rsidRPr="00A16353">
            <w:rPr>
              <w:rFonts w:asciiTheme="minorHAnsi" w:hAnsiTheme="minorHAnsi"/>
              <w:sz w:val="24"/>
            </w:rPr>
            <w:t>University</w:t>
          </w:r>
        </w:smartTag>
      </w:smartTag>
      <w:r w:rsidRPr="00A16353">
        <w:rPr>
          <w:rFonts w:asciiTheme="minorHAnsi" w:hAnsiTheme="minorHAnsi"/>
          <w:sz w:val="24"/>
        </w:rPr>
        <w:t xml:space="preserve"> received funding from an MTSU Technology Access Fee grant to create a telephone survey research lab and the Office of Consumer Research to be housed in the department.  The Office of Consumer Research uses the telephone survey lab to conduct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Tennessee.  Similar surveys conducted by the Conference Board and the Survey Research Center at the University of Michigan have been shown to be very predictive of key economic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w:t>
      </w:r>
      <w:proofErr w:type="spellStart"/>
      <w:r w:rsidRPr="00A16353">
        <w:rPr>
          <w:rFonts w:asciiTheme="minorHAnsi" w:hAnsiTheme="minorHAnsi"/>
          <w:sz w:val="24"/>
        </w:rPr>
        <w:t>Graeff’s</w:t>
      </w:r>
      <w:proofErr w:type="spellEnd"/>
      <w:r w:rsidRPr="00A16353">
        <w:rPr>
          <w:rFonts w:asciiTheme="minorHAnsi" w:hAnsiTheme="minorHAnsi"/>
          <w:sz w:val="24"/>
        </w:rPr>
        <w:t xml:space="preserve">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70502B" w:rsidRPr="001C6BB5" w:rsidRDefault="00EA1CA8">
      <w:pPr>
        <w:rPr>
          <w:rFonts w:asciiTheme="minorHAnsi" w:hAnsiTheme="minorHAnsi"/>
          <w:b/>
          <w:bCs/>
          <w:sz w:val="28"/>
          <w:szCs w:val="28"/>
          <w:u w:val="single"/>
        </w:rPr>
      </w:pPr>
      <w:r>
        <w:rPr>
          <w:rFonts w:asciiTheme="minorHAnsi" w:hAnsiTheme="minorHAnsi"/>
          <w:b/>
          <w:bCs/>
          <w:sz w:val="24"/>
          <w:u w:val="single"/>
        </w:rPr>
        <w:br w:type="column"/>
      </w:r>
      <w:r w:rsidR="0070502B" w:rsidRPr="001C6BB5">
        <w:rPr>
          <w:rFonts w:asciiTheme="minorHAnsi" w:hAnsiTheme="minorHAnsi"/>
          <w:b/>
          <w:bCs/>
          <w:sz w:val="28"/>
          <w:szCs w:val="28"/>
          <w:u w:val="single"/>
        </w:rPr>
        <w:lastRenderedPageBreak/>
        <w:t xml:space="preserve">The Middle Tennessee Consumer </w:t>
      </w:r>
      <w:r w:rsidR="00BC26BC" w:rsidRPr="001C6BB5">
        <w:rPr>
          <w:rFonts w:asciiTheme="minorHAnsi" w:hAnsiTheme="minorHAnsi"/>
          <w:b/>
          <w:bCs/>
          <w:sz w:val="28"/>
          <w:szCs w:val="28"/>
          <w:u w:val="single"/>
        </w:rPr>
        <w:t>Outlook</w:t>
      </w:r>
      <w:r w:rsidR="0070502B" w:rsidRPr="001C6BB5">
        <w:rPr>
          <w:rFonts w:asciiTheme="minorHAnsi" w:hAnsiTheme="minorHAnsi"/>
          <w:b/>
          <w:bCs/>
          <w:sz w:val="28"/>
          <w:szCs w:val="28"/>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business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business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23"/>
          <w:footerReference w:type="even" r:id="rId24"/>
          <w:footerReference w:type="default" r:id="rId25"/>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4F" w:rsidRDefault="00A1004F">
      <w:r>
        <w:separator/>
      </w:r>
    </w:p>
  </w:endnote>
  <w:endnote w:type="continuationSeparator" w:id="0">
    <w:p w:rsidR="00A1004F" w:rsidRDefault="00A1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FE" w:rsidRDefault="007C47FE"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47FE" w:rsidRDefault="007C4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7C47FE">
      <w:tc>
        <w:tcPr>
          <w:tcW w:w="918" w:type="dxa"/>
        </w:tcPr>
        <w:p w:rsidR="007C47FE" w:rsidRDefault="007C47FE">
          <w:pPr>
            <w:pStyle w:val="Footer"/>
            <w:jc w:val="right"/>
            <w:rPr>
              <w:b/>
              <w:color w:val="4F81BD" w:themeColor="accent1"/>
              <w:sz w:val="32"/>
              <w:szCs w:val="32"/>
            </w:rPr>
          </w:pPr>
          <w:r>
            <w:fldChar w:fldCharType="begin"/>
          </w:r>
          <w:r>
            <w:instrText xml:space="preserve"> PAGE   \* MERGEFORMAT </w:instrText>
          </w:r>
          <w:r>
            <w:fldChar w:fldCharType="separate"/>
          </w:r>
          <w:r w:rsidR="00FC307C" w:rsidRPr="00FC307C">
            <w:rPr>
              <w:b/>
              <w:noProof/>
              <w:color w:val="4F81BD" w:themeColor="accent1"/>
              <w:sz w:val="32"/>
              <w:szCs w:val="32"/>
            </w:rPr>
            <w:t>9</w:t>
          </w:r>
          <w:r>
            <w:rPr>
              <w:b/>
              <w:noProof/>
              <w:color w:val="4F81BD" w:themeColor="accent1"/>
              <w:sz w:val="32"/>
              <w:szCs w:val="32"/>
            </w:rPr>
            <w:fldChar w:fldCharType="end"/>
          </w:r>
        </w:p>
      </w:tc>
      <w:tc>
        <w:tcPr>
          <w:tcW w:w="7938" w:type="dxa"/>
        </w:tcPr>
        <w:p w:rsidR="007C47FE" w:rsidRPr="00EB2F31" w:rsidRDefault="007C47FE"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7C47FE" w:rsidRDefault="007C47FE"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4F" w:rsidRDefault="00A1004F">
      <w:r>
        <w:separator/>
      </w:r>
    </w:p>
  </w:footnote>
  <w:footnote w:type="continuationSeparator" w:id="0">
    <w:p w:rsidR="00A1004F" w:rsidRDefault="00A1004F">
      <w:r>
        <w:continuationSeparator/>
      </w:r>
    </w:p>
  </w:footnote>
  <w:footnote w:id="1">
    <w:p w:rsidR="007C47FE" w:rsidRDefault="007C47FE" w:rsidP="002C5F55">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 xml:space="preserve">ubtracting the percentage of negative responses to each question.  </w:t>
      </w:r>
    </w:p>
    <w:p w:rsidR="007C47FE" w:rsidRPr="00A16353" w:rsidRDefault="007C47FE" w:rsidP="002C5F55">
      <w:pPr>
        <w:pStyle w:val="FootnoteText"/>
        <w:rPr>
          <w:rFonts w:asciiTheme="minorHAnsi" w:hAnsiTheme="minorHAnsi"/>
        </w:rPr>
      </w:pPr>
    </w:p>
  </w:footnote>
  <w:footnote w:id="2">
    <w:p w:rsidR="007C47FE" w:rsidRPr="00E63A1F" w:rsidRDefault="007C47FE" w:rsidP="00FE48A8">
      <w:pPr>
        <w:pStyle w:val="FootnoteText"/>
        <w:rPr>
          <w:rFonts w:asciiTheme="minorHAnsi" w:hAnsiTheme="minorHAnsi"/>
          <w:color w:val="0070C0"/>
        </w:rPr>
      </w:pPr>
      <w:r>
        <w:rPr>
          <w:rStyle w:val="FootnoteReference"/>
        </w:rPr>
        <w:footnoteRef/>
      </w:r>
      <w:r>
        <w:t xml:space="preserve"> </w:t>
      </w:r>
      <w:r w:rsidRPr="00C770E3">
        <w:rPr>
          <w:rFonts w:asciiTheme="minorHAnsi" w:hAnsiTheme="minorHAnsi" w:cs="Helvetica"/>
          <w:lang w:val="en-GB"/>
        </w:rPr>
        <w:t>Consumers Plan to Spend More This Holiday Season, According to 13th Annual CFA-CUNA Holiday Spending Survey</w:t>
      </w:r>
      <w:proofErr w:type="gramStart"/>
      <w:r w:rsidRPr="00C770E3">
        <w:rPr>
          <w:rFonts w:asciiTheme="minorHAnsi" w:hAnsiTheme="minorHAnsi" w:cs="Helvetica"/>
          <w:lang w:val="en-GB"/>
        </w:rPr>
        <w:t>,</w:t>
      </w:r>
      <w:r>
        <w:rPr>
          <w:rFonts w:asciiTheme="minorHAnsi" w:hAnsiTheme="minorHAnsi" w:cs="Helvetica"/>
          <w:lang w:val="en-GB"/>
        </w:rPr>
        <w:t xml:space="preserve"> ,</w:t>
      </w:r>
      <w:proofErr w:type="gramEnd"/>
      <w:r>
        <w:rPr>
          <w:rFonts w:asciiTheme="minorHAnsi" w:hAnsiTheme="minorHAnsi" w:cs="Helvetica"/>
          <w:lang w:val="en-GB"/>
        </w:rPr>
        <w:t xml:space="preserve"> November 21, 2012,</w:t>
      </w:r>
      <w:r w:rsidRPr="00C770E3">
        <w:rPr>
          <w:rFonts w:asciiTheme="minorHAnsi" w:hAnsiTheme="minorHAnsi" w:cs="Helvetica"/>
          <w:lang w:val="en-GB"/>
        </w:rPr>
        <w:t xml:space="preserve"> </w:t>
      </w:r>
      <w:r>
        <w:rPr>
          <w:rFonts w:asciiTheme="minorHAnsi" w:hAnsiTheme="minorHAnsi" w:cs="Helvetica"/>
          <w:lang w:val="en-GB"/>
        </w:rPr>
        <w:t xml:space="preserve">Consumer Federation of America, </w:t>
      </w:r>
      <w:hyperlink r:id="rId1" w:history="1">
        <w:r w:rsidRPr="00E63A1F">
          <w:rPr>
            <w:rStyle w:val="Hyperlink"/>
            <w:rFonts w:asciiTheme="minorHAnsi" w:hAnsiTheme="minorHAnsi" w:cs="Helvetica"/>
            <w:color w:val="0070C0"/>
            <w:lang w:val="en-GB"/>
          </w:rPr>
          <w:t>http://www.consumerfed.org/news/615</w:t>
        </w:r>
      </w:hyperlink>
      <w:r w:rsidRPr="00E63A1F">
        <w:rPr>
          <w:rFonts w:asciiTheme="minorHAnsi" w:hAnsiTheme="minorHAnsi" w:cs="Helvetica"/>
          <w:color w:val="0070C0"/>
          <w:lang w:val="en-GB"/>
        </w:rPr>
        <w:t xml:space="preserve">. </w:t>
      </w:r>
    </w:p>
  </w:footnote>
  <w:footnote w:id="3">
    <w:p w:rsidR="007C47FE" w:rsidRPr="00E63A1F" w:rsidRDefault="007C47FE" w:rsidP="007C47FE">
      <w:pPr>
        <w:pStyle w:val="FootnoteText"/>
        <w:rPr>
          <w:rFonts w:asciiTheme="minorHAnsi" w:hAnsiTheme="minorHAnsi"/>
          <w:color w:val="0070C0"/>
        </w:rPr>
      </w:pPr>
      <w:r>
        <w:rPr>
          <w:rStyle w:val="FootnoteReference"/>
        </w:rPr>
        <w:footnoteRef/>
      </w:r>
      <w:r>
        <w:t xml:space="preserve"> </w:t>
      </w:r>
      <w:proofErr w:type="gramStart"/>
      <w:r w:rsidRPr="0035643A">
        <w:rPr>
          <w:rFonts w:asciiTheme="minorHAnsi" w:hAnsiTheme="minorHAnsi" w:cs="Arial"/>
        </w:rPr>
        <w:t xml:space="preserve">Shoppers to Remain Conservative </w:t>
      </w:r>
      <w:r>
        <w:rPr>
          <w:rFonts w:asciiTheme="minorHAnsi" w:hAnsiTheme="minorHAnsi" w:cs="Arial"/>
        </w:rPr>
        <w:t>w</w:t>
      </w:r>
      <w:r w:rsidRPr="0035643A">
        <w:rPr>
          <w:rFonts w:asciiTheme="minorHAnsi" w:hAnsiTheme="minorHAnsi" w:cs="Arial"/>
        </w:rPr>
        <w:t xml:space="preserve">ith Holiday Gift Budgets </w:t>
      </w:r>
      <w:r>
        <w:rPr>
          <w:rFonts w:asciiTheme="minorHAnsi" w:hAnsiTheme="minorHAnsi" w:cs="Arial"/>
        </w:rPr>
        <w:t>T</w:t>
      </w:r>
      <w:r w:rsidRPr="0035643A">
        <w:rPr>
          <w:rFonts w:asciiTheme="minorHAnsi" w:hAnsiTheme="minorHAnsi" w:cs="Arial"/>
        </w:rPr>
        <w:t>his Year, According to NRF</w:t>
      </w:r>
      <w:r>
        <w:rPr>
          <w:rFonts w:asciiTheme="minorHAnsi" w:hAnsiTheme="minorHAnsi" w:cs="Arial"/>
        </w:rPr>
        <w:t xml:space="preserve">, October 17, 2012, National Retail Federation, </w:t>
      </w:r>
      <w:hyperlink r:id="rId2" w:history="1">
        <w:r w:rsidRPr="00E63A1F">
          <w:rPr>
            <w:rStyle w:val="Hyperlink"/>
            <w:rFonts w:asciiTheme="minorHAnsi" w:hAnsiTheme="minorHAnsi" w:cs="Arial"/>
            <w:color w:val="0070C0"/>
          </w:rPr>
          <w:t>http://www.nrf.com/modules.php?name=News&amp;op=viewlive&amp;sp_id=1438</w:t>
        </w:r>
      </w:hyperlink>
      <w:r w:rsidRPr="00E63A1F">
        <w:rPr>
          <w:rFonts w:asciiTheme="minorHAnsi" w:hAnsiTheme="minorHAnsi" w:cs="Arial"/>
          <w:color w:val="0070C0"/>
        </w:rPr>
        <w:t>.</w:t>
      </w:r>
      <w:proofErr w:type="gramEnd"/>
      <w:r w:rsidRPr="00E63A1F">
        <w:rPr>
          <w:rFonts w:asciiTheme="minorHAnsi" w:hAnsiTheme="minorHAnsi" w:cs="Arial"/>
          <w:color w:val="0070C0"/>
        </w:rPr>
        <w:t xml:space="preserve"> </w:t>
      </w:r>
    </w:p>
  </w:footnote>
  <w:footnote w:id="4">
    <w:p w:rsidR="007C47FE" w:rsidRDefault="007C47FE" w:rsidP="00D51D6B">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Pr>
          <w:rFonts w:asciiTheme="minorHAnsi" w:hAnsiTheme="minorHAnsi"/>
        </w:rPr>
        <w:t>November 27, 2012, “The Conference Board Consumer Confidence Index</w:t>
      </w:r>
      <w:r>
        <w:rPr>
          <w:rFonts w:asciiTheme="minorHAnsi" w:hAnsiTheme="minorHAnsi" w:cstheme="minorHAnsi"/>
        </w:rPr>
        <w:t>®</w:t>
      </w:r>
      <w:r>
        <w:rPr>
          <w:rFonts w:asciiTheme="minorHAnsi" w:hAnsiTheme="minorHAnsi"/>
        </w:rPr>
        <w:t xml:space="preserve"> Increases Again.” </w:t>
      </w:r>
      <w:r w:rsidRPr="00A16353">
        <w:rPr>
          <w:rFonts w:asciiTheme="minorHAnsi" w:hAnsiTheme="minorHAnsi"/>
        </w:rPr>
        <w:t>(</w:t>
      </w:r>
      <w:hyperlink r:id="rId3" w:history="1">
        <w:r w:rsidRPr="00A16353">
          <w:rPr>
            <w:rStyle w:val="Hyperlink"/>
            <w:rFonts w:asciiTheme="minorHAnsi" w:hAnsiTheme="minorHAnsi"/>
          </w:rPr>
          <w:t>www.conference-board.org</w:t>
        </w:r>
      </w:hyperlink>
      <w:r w:rsidRPr="00A16353">
        <w:rPr>
          <w:rFonts w:asciiTheme="minorHAnsi" w:hAnsiTheme="minorHAnsi"/>
        </w:rPr>
        <w:t xml:space="preserve">).   </w:t>
      </w:r>
    </w:p>
    <w:p w:rsidR="007C47FE" w:rsidRPr="00A16353" w:rsidRDefault="007C47FE" w:rsidP="00D51D6B">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7C47FE" w:rsidTr="00182CC7">
      <w:trPr>
        <w:trHeight w:val="288"/>
      </w:trPr>
      <w:tc>
        <w:tcPr>
          <w:tcW w:w="6955" w:type="dxa"/>
        </w:tcPr>
        <w:p w:rsidR="007C47FE" w:rsidRPr="00EB2F31" w:rsidRDefault="007C47FE" w:rsidP="002C5F55">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November  </w:t>
          </w:r>
        </w:p>
      </w:tc>
      <w:tc>
        <w:tcPr>
          <w:tcW w:w="1915" w:type="dxa"/>
        </w:tcPr>
        <w:p w:rsidR="007C47FE" w:rsidRPr="00EB2F31" w:rsidRDefault="007C47FE" w:rsidP="0022136E">
          <w:pPr>
            <w:pStyle w:val="Header"/>
            <w:rPr>
              <w:rFonts w:asciiTheme="majorHAnsi" w:eastAsiaTheme="majorEastAsia" w:hAnsiTheme="majorHAnsi" w:cstheme="majorBidi"/>
              <w:b/>
              <w:bCs/>
            </w:rPr>
          </w:pPr>
          <w:r w:rsidRPr="00EB2F31">
            <w:rPr>
              <w:rFonts w:asciiTheme="minorHAnsi" w:eastAsiaTheme="majorEastAsia" w:hAnsiTheme="minorHAnsi" w:cstheme="majorBidi"/>
              <w:b/>
              <w:bCs/>
            </w:rPr>
            <w:t>201</w:t>
          </w:r>
          <w:r>
            <w:rPr>
              <w:rFonts w:asciiTheme="minorHAnsi" w:eastAsiaTheme="majorEastAsia" w:hAnsiTheme="minorHAnsi" w:cstheme="majorBidi"/>
              <w:b/>
              <w:bCs/>
            </w:rPr>
            <w:t>2</w:t>
          </w:r>
        </w:p>
      </w:tc>
    </w:tr>
  </w:tbl>
  <w:p w:rsidR="007C47FE" w:rsidRDefault="007C47FE"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45A3"/>
    <w:rsid w:val="000150C9"/>
    <w:rsid w:val="00017ACF"/>
    <w:rsid w:val="0002229B"/>
    <w:rsid w:val="000227B0"/>
    <w:rsid w:val="00024521"/>
    <w:rsid w:val="00025EB6"/>
    <w:rsid w:val="000261F7"/>
    <w:rsid w:val="00031593"/>
    <w:rsid w:val="00033A45"/>
    <w:rsid w:val="0003400E"/>
    <w:rsid w:val="00036116"/>
    <w:rsid w:val="000371C0"/>
    <w:rsid w:val="00042E6D"/>
    <w:rsid w:val="000463D3"/>
    <w:rsid w:val="0005599C"/>
    <w:rsid w:val="00055B65"/>
    <w:rsid w:val="00056DC6"/>
    <w:rsid w:val="000570D2"/>
    <w:rsid w:val="00057F34"/>
    <w:rsid w:val="00060E48"/>
    <w:rsid w:val="00061B06"/>
    <w:rsid w:val="00067D56"/>
    <w:rsid w:val="00071D4A"/>
    <w:rsid w:val="00072761"/>
    <w:rsid w:val="00073B05"/>
    <w:rsid w:val="00075D28"/>
    <w:rsid w:val="0007741E"/>
    <w:rsid w:val="00077997"/>
    <w:rsid w:val="00081507"/>
    <w:rsid w:val="000824E1"/>
    <w:rsid w:val="0008282D"/>
    <w:rsid w:val="00082E56"/>
    <w:rsid w:val="0009131D"/>
    <w:rsid w:val="00091F2E"/>
    <w:rsid w:val="00092E33"/>
    <w:rsid w:val="0009562A"/>
    <w:rsid w:val="00096506"/>
    <w:rsid w:val="000A12F3"/>
    <w:rsid w:val="000A1496"/>
    <w:rsid w:val="000B083F"/>
    <w:rsid w:val="000B1534"/>
    <w:rsid w:val="000B497B"/>
    <w:rsid w:val="000B4B84"/>
    <w:rsid w:val="000B4FBA"/>
    <w:rsid w:val="000B5FFA"/>
    <w:rsid w:val="000C3180"/>
    <w:rsid w:val="000C44B8"/>
    <w:rsid w:val="000C5247"/>
    <w:rsid w:val="000C7BA4"/>
    <w:rsid w:val="000D09DE"/>
    <w:rsid w:val="000D12D0"/>
    <w:rsid w:val="000D419E"/>
    <w:rsid w:val="000E2219"/>
    <w:rsid w:val="000E2578"/>
    <w:rsid w:val="000E34D4"/>
    <w:rsid w:val="000E3961"/>
    <w:rsid w:val="000E4447"/>
    <w:rsid w:val="000E4704"/>
    <w:rsid w:val="000E5D29"/>
    <w:rsid w:val="000F047A"/>
    <w:rsid w:val="000F0990"/>
    <w:rsid w:val="000F2607"/>
    <w:rsid w:val="000F2E3D"/>
    <w:rsid w:val="000F3231"/>
    <w:rsid w:val="000F3DEC"/>
    <w:rsid w:val="000F4DBF"/>
    <w:rsid w:val="00101043"/>
    <w:rsid w:val="001029A1"/>
    <w:rsid w:val="001041CB"/>
    <w:rsid w:val="0010485D"/>
    <w:rsid w:val="00104CC5"/>
    <w:rsid w:val="00104F9F"/>
    <w:rsid w:val="00105183"/>
    <w:rsid w:val="00105937"/>
    <w:rsid w:val="00106BB1"/>
    <w:rsid w:val="00107B80"/>
    <w:rsid w:val="00112E8B"/>
    <w:rsid w:val="00113399"/>
    <w:rsid w:val="00113876"/>
    <w:rsid w:val="001142CF"/>
    <w:rsid w:val="00114F5D"/>
    <w:rsid w:val="00115386"/>
    <w:rsid w:val="00116738"/>
    <w:rsid w:val="001168FE"/>
    <w:rsid w:val="00116C15"/>
    <w:rsid w:val="00121BD3"/>
    <w:rsid w:val="00125541"/>
    <w:rsid w:val="001260DC"/>
    <w:rsid w:val="001266DE"/>
    <w:rsid w:val="00127E7A"/>
    <w:rsid w:val="00135090"/>
    <w:rsid w:val="00135989"/>
    <w:rsid w:val="00140EF4"/>
    <w:rsid w:val="00141231"/>
    <w:rsid w:val="001417F1"/>
    <w:rsid w:val="00145A12"/>
    <w:rsid w:val="00146F52"/>
    <w:rsid w:val="00147EDA"/>
    <w:rsid w:val="00150FC6"/>
    <w:rsid w:val="00154A7B"/>
    <w:rsid w:val="00157A8B"/>
    <w:rsid w:val="001602C2"/>
    <w:rsid w:val="00160734"/>
    <w:rsid w:val="00161E62"/>
    <w:rsid w:val="00163A5A"/>
    <w:rsid w:val="00165C57"/>
    <w:rsid w:val="00170B01"/>
    <w:rsid w:val="00170B9A"/>
    <w:rsid w:val="00170D94"/>
    <w:rsid w:val="001725BA"/>
    <w:rsid w:val="00173458"/>
    <w:rsid w:val="0017454B"/>
    <w:rsid w:val="0017690B"/>
    <w:rsid w:val="00177D7C"/>
    <w:rsid w:val="00182CC7"/>
    <w:rsid w:val="00184CC5"/>
    <w:rsid w:val="00185CB4"/>
    <w:rsid w:val="00190BE9"/>
    <w:rsid w:val="00192302"/>
    <w:rsid w:val="0019270C"/>
    <w:rsid w:val="00197A8A"/>
    <w:rsid w:val="001A048A"/>
    <w:rsid w:val="001A19B2"/>
    <w:rsid w:val="001A1A56"/>
    <w:rsid w:val="001A22D8"/>
    <w:rsid w:val="001A3286"/>
    <w:rsid w:val="001A46E5"/>
    <w:rsid w:val="001B108C"/>
    <w:rsid w:val="001B1C3E"/>
    <w:rsid w:val="001B3DE5"/>
    <w:rsid w:val="001B40C9"/>
    <w:rsid w:val="001B6BCD"/>
    <w:rsid w:val="001C030A"/>
    <w:rsid w:val="001C1215"/>
    <w:rsid w:val="001C1DCC"/>
    <w:rsid w:val="001C4EB7"/>
    <w:rsid w:val="001C5388"/>
    <w:rsid w:val="001C6BB5"/>
    <w:rsid w:val="001D059A"/>
    <w:rsid w:val="001D182F"/>
    <w:rsid w:val="001D3539"/>
    <w:rsid w:val="001D574E"/>
    <w:rsid w:val="001D714E"/>
    <w:rsid w:val="001E06A1"/>
    <w:rsid w:val="001E1FB6"/>
    <w:rsid w:val="001E2C62"/>
    <w:rsid w:val="001E2D42"/>
    <w:rsid w:val="001E3128"/>
    <w:rsid w:val="001E3199"/>
    <w:rsid w:val="001E79CE"/>
    <w:rsid w:val="001E7C74"/>
    <w:rsid w:val="001F284E"/>
    <w:rsid w:val="001F4354"/>
    <w:rsid w:val="001F5301"/>
    <w:rsid w:val="001F5A0D"/>
    <w:rsid w:val="001F5C7F"/>
    <w:rsid w:val="001F686D"/>
    <w:rsid w:val="001F7ED1"/>
    <w:rsid w:val="002042C2"/>
    <w:rsid w:val="00205F22"/>
    <w:rsid w:val="00206850"/>
    <w:rsid w:val="00207CF8"/>
    <w:rsid w:val="00210108"/>
    <w:rsid w:val="002116E2"/>
    <w:rsid w:val="002164BE"/>
    <w:rsid w:val="00220760"/>
    <w:rsid w:val="0022136E"/>
    <w:rsid w:val="0022312B"/>
    <w:rsid w:val="00225C18"/>
    <w:rsid w:val="00226789"/>
    <w:rsid w:val="0022726B"/>
    <w:rsid w:val="002273AC"/>
    <w:rsid w:val="00231B64"/>
    <w:rsid w:val="00231C18"/>
    <w:rsid w:val="00231DDA"/>
    <w:rsid w:val="002428DB"/>
    <w:rsid w:val="00242C00"/>
    <w:rsid w:val="002432C1"/>
    <w:rsid w:val="00245444"/>
    <w:rsid w:val="002459EB"/>
    <w:rsid w:val="0025000D"/>
    <w:rsid w:val="00251195"/>
    <w:rsid w:val="00254BD6"/>
    <w:rsid w:val="00255667"/>
    <w:rsid w:val="00255A5B"/>
    <w:rsid w:val="00255F17"/>
    <w:rsid w:val="00256CBB"/>
    <w:rsid w:val="00260C6A"/>
    <w:rsid w:val="00261238"/>
    <w:rsid w:val="002638EB"/>
    <w:rsid w:val="0026446F"/>
    <w:rsid w:val="00267A52"/>
    <w:rsid w:val="00270734"/>
    <w:rsid w:val="0027265D"/>
    <w:rsid w:val="00273925"/>
    <w:rsid w:val="00277488"/>
    <w:rsid w:val="0028050A"/>
    <w:rsid w:val="00282C99"/>
    <w:rsid w:val="00282D9B"/>
    <w:rsid w:val="00283E0D"/>
    <w:rsid w:val="0028569D"/>
    <w:rsid w:val="0029184C"/>
    <w:rsid w:val="00291A59"/>
    <w:rsid w:val="002923FA"/>
    <w:rsid w:val="00293B4D"/>
    <w:rsid w:val="00293DFA"/>
    <w:rsid w:val="00294AE0"/>
    <w:rsid w:val="002974AD"/>
    <w:rsid w:val="00297604"/>
    <w:rsid w:val="002A1D00"/>
    <w:rsid w:val="002A26D8"/>
    <w:rsid w:val="002A32A3"/>
    <w:rsid w:val="002A5760"/>
    <w:rsid w:val="002A67EC"/>
    <w:rsid w:val="002B08A0"/>
    <w:rsid w:val="002B1FF3"/>
    <w:rsid w:val="002B2C22"/>
    <w:rsid w:val="002B3426"/>
    <w:rsid w:val="002B5A64"/>
    <w:rsid w:val="002B67F2"/>
    <w:rsid w:val="002B76D5"/>
    <w:rsid w:val="002C0CDC"/>
    <w:rsid w:val="002C1F03"/>
    <w:rsid w:val="002C2E16"/>
    <w:rsid w:val="002C32BD"/>
    <w:rsid w:val="002C496A"/>
    <w:rsid w:val="002C5E02"/>
    <w:rsid w:val="002C5F55"/>
    <w:rsid w:val="002C6F2A"/>
    <w:rsid w:val="002C7E0D"/>
    <w:rsid w:val="002C7E20"/>
    <w:rsid w:val="002D006B"/>
    <w:rsid w:val="002D0598"/>
    <w:rsid w:val="002D1E06"/>
    <w:rsid w:val="002D1FC7"/>
    <w:rsid w:val="002D22C7"/>
    <w:rsid w:val="002D2DF4"/>
    <w:rsid w:val="002D3E27"/>
    <w:rsid w:val="002D53D6"/>
    <w:rsid w:val="002D652F"/>
    <w:rsid w:val="002E038E"/>
    <w:rsid w:val="002E0C93"/>
    <w:rsid w:val="002E2DAC"/>
    <w:rsid w:val="002F04CE"/>
    <w:rsid w:val="002F101C"/>
    <w:rsid w:val="002F14A9"/>
    <w:rsid w:val="002F176B"/>
    <w:rsid w:val="002F5BB5"/>
    <w:rsid w:val="002F5F08"/>
    <w:rsid w:val="002F6834"/>
    <w:rsid w:val="002F7414"/>
    <w:rsid w:val="002F74EE"/>
    <w:rsid w:val="00301A4E"/>
    <w:rsid w:val="00301E61"/>
    <w:rsid w:val="00303944"/>
    <w:rsid w:val="0030402A"/>
    <w:rsid w:val="003113C8"/>
    <w:rsid w:val="00313761"/>
    <w:rsid w:val="00314252"/>
    <w:rsid w:val="00315469"/>
    <w:rsid w:val="00317840"/>
    <w:rsid w:val="00320666"/>
    <w:rsid w:val="00320E2E"/>
    <w:rsid w:val="00321B9E"/>
    <w:rsid w:val="00321F35"/>
    <w:rsid w:val="00322D52"/>
    <w:rsid w:val="00327ED0"/>
    <w:rsid w:val="00335063"/>
    <w:rsid w:val="003359D4"/>
    <w:rsid w:val="00340663"/>
    <w:rsid w:val="003416F4"/>
    <w:rsid w:val="003425D9"/>
    <w:rsid w:val="00342C60"/>
    <w:rsid w:val="0034564A"/>
    <w:rsid w:val="00345ED2"/>
    <w:rsid w:val="00347EB8"/>
    <w:rsid w:val="003517E0"/>
    <w:rsid w:val="00351B9E"/>
    <w:rsid w:val="00351F24"/>
    <w:rsid w:val="00354B9C"/>
    <w:rsid w:val="00355C32"/>
    <w:rsid w:val="0035630D"/>
    <w:rsid w:val="0035643A"/>
    <w:rsid w:val="00356BDC"/>
    <w:rsid w:val="003577A9"/>
    <w:rsid w:val="003600C3"/>
    <w:rsid w:val="00361FC1"/>
    <w:rsid w:val="00363C3A"/>
    <w:rsid w:val="00365398"/>
    <w:rsid w:val="00367795"/>
    <w:rsid w:val="00370DCC"/>
    <w:rsid w:val="00371D44"/>
    <w:rsid w:val="003735A6"/>
    <w:rsid w:val="0037475C"/>
    <w:rsid w:val="00380012"/>
    <w:rsid w:val="00381E32"/>
    <w:rsid w:val="00381E71"/>
    <w:rsid w:val="00382540"/>
    <w:rsid w:val="0038364E"/>
    <w:rsid w:val="00383A92"/>
    <w:rsid w:val="00390708"/>
    <w:rsid w:val="00391D1B"/>
    <w:rsid w:val="003935C6"/>
    <w:rsid w:val="00393723"/>
    <w:rsid w:val="00395AAC"/>
    <w:rsid w:val="00396B23"/>
    <w:rsid w:val="00396E7A"/>
    <w:rsid w:val="003974BD"/>
    <w:rsid w:val="003A0864"/>
    <w:rsid w:val="003A3CCF"/>
    <w:rsid w:val="003A68FC"/>
    <w:rsid w:val="003A6A52"/>
    <w:rsid w:val="003A7112"/>
    <w:rsid w:val="003A779B"/>
    <w:rsid w:val="003B1186"/>
    <w:rsid w:val="003B1889"/>
    <w:rsid w:val="003B282C"/>
    <w:rsid w:val="003B4C23"/>
    <w:rsid w:val="003B7D00"/>
    <w:rsid w:val="003C101C"/>
    <w:rsid w:val="003C133F"/>
    <w:rsid w:val="003C1AC6"/>
    <w:rsid w:val="003C3766"/>
    <w:rsid w:val="003C7285"/>
    <w:rsid w:val="003C7D6B"/>
    <w:rsid w:val="003D0250"/>
    <w:rsid w:val="003D0739"/>
    <w:rsid w:val="003D1F42"/>
    <w:rsid w:val="003D1FF2"/>
    <w:rsid w:val="003D545D"/>
    <w:rsid w:val="003E115F"/>
    <w:rsid w:val="003E179E"/>
    <w:rsid w:val="003E19F4"/>
    <w:rsid w:val="003E35CE"/>
    <w:rsid w:val="003E60AC"/>
    <w:rsid w:val="003E782C"/>
    <w:rsid w:val="003F0978"/>
    <w:rsid w:val="003F0F0F"/>
    <w:rsid w:val="003F1682"/>
    <w:rsid w:val="003F42BE"/>
    <w:rsid w:val="003F6716"/>
    <w:rsid w:val="003F7B46"/>
    <w:rsid w:val="00400409"/>
    <w:rsid w:val="00400D94"/>
    <w:rsid w:val="004028B8"/>
    <w:rsid w:val="00405BCB"/>
    <w:rsid w:val="00410BED"/>
    <w:rsid w:val="00413904"/>
    <w:rsid w:val="00413FEB"/>
    <w:rsid w:val="00415191"/>
    <w:rsid w:val="0041683C"/>
    <w:rsid w:val="00421A00"/>
    <w:rsid w:val="00421C43"/>
    <w:rsid w:val="00421D0F"/>
    <w:rsid w:val="0042273F"/>
    <w:rsid w:val="00422BE2"/>
    <w:rsid w:val="004237EA"/>
    <w:rsid w:val="004245C7"/>
    <w:rsid w:val="004246CD"/>
    <w:rsid w:val="0042570C"/>
    <w:rsid w:val="0042637E"/>
    <w:rsid w:val="00426E98"/>
    <w:rsid w:val="00430F04"/>
    <w:rsid w:val="00431AD9"/>
    <w:rsid w:val="00432CD0"/>
    <w:rsid w:val="00444552"/>
    <w:rsid w:val="004446CD"/>
    <w:rsid w:val="0044620B"/>
    <w:rsid w:val="0044766A"/>
    <w:rsid w:val="004507E7"/>
    <w:rsid w:val="00452A4D"/>
    <w:rsid w:val="00453B0F"/>
    <w:rsid w:val="00453FB1"/>
    <w:rsid w:val="00454711"/>
    <w:rsid w:val="00454876"/>
    <w:rsid w:val="00455054"/>
    <w:rsid w:val="0045680F"/>
    <w:rsid w:val="004577DD"/>
    <w:rsid w:val="00460C7C"/>
    <w:rsid w:val="004631E8"/>
    <w:rsid w:val="0046324A"/>
    <w:rsid w:val="00463CC6"/>
    <w:rsid w:val="00464C39"/>
    <w:rsid w:val="00465448"/>
    <w:rsid w:val="0046736F"/>
    <w:rsid w:val="00467FAD"/>
    <w:rsid w:val="00474601"/>
    <w:rsid w:val="00477152"/>
    <w:rsid w:val="00480D3A"/>
    <w:rsid w:val="00481431"/>
    <w:rsid w:val="0048167A"/>
    <w:rsid w:val="0048301F"/>
    <w:rsid w:val="0048318A"/>
    <w:rsid w:val="0048484C"/>
    <w:rsid w:val="00484CEF"/>
    <w:rsid w:val="00486BAD"/>
    <w:rsid w:val="00487144"/>
    <w:rsid w:val="0048745E"/>
    <w:rsid w:val="00487D93"/>
    <w:rsid w:val="00492AE3"/>
    <w:rsid w:val="00492B5A"/>
    <w:rsid w:val="00493840"/>
    <w:rsid w:val="0049404A"/>
    <w:rsid w:val="004960A8"/>
    <w:rsid w:val="00497900"/>
    <w:rsid w:val="004A0ED7"/>
    <w:rsid w:val="004A1A29"/>
    <w:rsid w:val="004A2A09"/>
    <w:rsid w:val="004A7012"/>
    <w:rsid w:val="004B1E44"/>
    <w:rsid w:val="004B2F75"/>
    <w:rsid w:val="004B44E6"/>
    <w:rsid w:val="004B4DFC"/>
    <w:rsid w:val="004B4F70"/>
    <w:rsid w:val="004B5AFA"/>
    <w:rsid w:val="004C01BA"/>
    <w:rsid w:val="004C1B50"/>
    <w:rsid w:val="004C1E63"/>
    <w:rsid w:val="004C2CAC"/>
    <w:rsid w:val="004C2F21"/>
    <w:rsid w:val="004C397F"/>
    <w:rsid w:val="004D0579"/>
    <w:rsid w:val="004D2E9E"/>
    <w:rsid w:val="004D52E3"/>
    <w:rsid w:val="004E3164"/>
    <w:rsid w:val="004F13A0"/>
    <w:rsid w:val="004F23CE"/>
    <w:rsid w:val="004F55D8"/>
    <w:rsid w:val="004F5C3E"/>
    <w:rsid w:val="004F5FA4"/>
    <w:rsid w:val="00501875"/>
    <w:rsid w:val="005027A9"/>
    <w:rsid w:val="00502D7A"/>
    <w:rsid w:val="005034A0"/>
    <w:rsid w:val="005041EC"/>
    <w:rsid w:val="005047C2"/>
    <w:rsid w:val="0050495F"/>
    <w:rsid w:val="00505174"/>
    <w:rsid w:val="005053AB"/>
    <w:rsid w:val="00507212"/>
    <w:rsid w:val="00510399"/>
    <w:rsid w:val="005167F3"/>
    <w:rsid w:val="00516A9C"/>
    <w:rsid w:val="00521631"/>
    <w:rsid w:val="0052454E"/>
    <w:rsid w:val="005255B8"/>
    <w:rsid w:val="00525FB0"/>
    <w:rsid w:val="00527F2A"/>
    <w:rsid w:val="0053077D"/>
    <w:rsid w:val="005308C2"/>
    <w:rsid w:val="005308C3"/>
    <w:rsid w:val="005313C9"/>
    <w:rsid w:val="005326A4"/>
    <w:rsid w:val="0053382C"/>
    <w:rsid w:val="00533D66"/>
    <w:rsid w:val="00534FDB"/>
    <w:rsid w:val="00535FA0"/>
    <w:rsid w:val="00536684"/>
    <w:rsid w:val="005400FF"/>
    <w:rsid w:val="0054070A"/>
    <w:rsid w:val="00542DBF"/>
    <w:rsid w:val="005461C9"/>
    <w:rsid w:val="00546A3A"/>
    <w:rsid w:val="005506DE"/>
    <w:rsid w:val="005519C2"/>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EC8"/>
    <w:rsid w:val="00574A22"/>
    <w:rsid w:val="00576790"/>
    <w:rsid w:val="00582C94"/>
    <w:rsid w:val="00582F15"/>
    <w:rsid w:val="005836C9"/>
    <w:rsid w:val="00587361"/>
    <w:rsid w:val="005905FE"/>
    <w:rsid w:val="00592B1E"/>
    <w:rsid w:val="00592BA8"/>
    <w:rsid w:val="00593A2C"/>
    <w:rsid w:val="005978EA"/>
    <w:rsid w:val="005A0218"/>
    <w:rsid w:val="005A0E78"/>
    <w:rsid w:val="005A1D0D"/>
    <w:rsid w:val="005A2A08"/>
    <w:rsid w:val="005A50F4"/>
    <w:rsid w:val="005A79C9"/>
    <w:rsid w:val="005A7F41"/>
    <w:rsid w:val="005B4418"/>
    <w:rsid w:val="005B45EF"/>
    <w:rsid w:val="005B4886"/>
    <w:rsid w:val="005B63B7"/>
    <w:rsid w:val="005C1B20"/>
    <w:rsid w:val="005C1C27"/>
    <w:rsid w:val="005C53EB"/>
    <w:rsid w:val="005C69DD"/>
    <w:rsid w:val="005C7A36"/>
    <w:rsid w:val="005D00A4"/>
    <w:rsid w:val="005D022E"/>
    <w:rsid w:val="005D1F4B"/>
    <w:rsid w:val="005D20F1"/>
    <w:rsid w:val="005D2D38"/>
    <w:rsid w:val="005D5B2B"/>
    <w:rsid w:val="005E4856"/>
    <w:rsid w:val="005E61A0"/>
    <w:rsid w:val="005E6F12"/>
    <w:rsid w:val="005F1A8C"/>
    <w:rsid w:val="0060076C"/>
    <w:rsid w:val="006047C8"/>
    <w:rsid w:val="00606606"/>
    <w:rsid w:val="00610A1E"/>
    <w:rsid w:val="00613500"/>
    <w:rsid w:val="006161B6"/>
    <w:rsid w:val="006171B9"/>
    <w:rsid w:val="0061763B"/>
    <w:rsid w:val="0061769D"/>
    <w:rsid w:val="006244C9"/>
    <w:rsid w:val="00626C49"/>
    <w:rsid w:val="00627825"/>
    <w:rsid w:val="0063250B"/>
    <w:rsid w:val="00633891"/>
    <w:rsid w:val="006345F3"/>
    <w:rsid w:val="006362DE"/>
    <w:rsid w:val="00636ABC"/>
    <w:rsid w:val="00640625"/>
    <w:rsid w:val="00642992"/>
    <w:rsid w:val="00642AE7"/>
    <w:rsid w:val="00642D23"/>
    <w:rsid w:val="0064614F"/>
    <w:rsid w:val="006515ED"/>
    <w:rsid w:val="00654326"/>
    <w:rsid w:val="00655728"/>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376D"/>
    <w:rsid w:val="00694670"/>
    <w:rsid w:val="00695980"/>
    <w:rsid w:val="00696881"/>
    <w:rsid w:val="00697CC6"/>
    <w:rsid w:val="006A1374"/>
    <w:rsid w:val="006A2289"/>
    <w:rsid w:val="006A445E"/>
    <w:rsid w:val="006A4E8E"/>
    <w:rsid w:val="006A53FC"/>
    <w:rsid w:val="006A750C"/>
    <w:rsid w:val="006B3840"/>
    <w:rsid w:val="006B55A3"/>
    <w:rsid w:val="006B566D"/>
    <w:rsid w:val="006C267E"/>
    <w:rsid w:val="006C2688"/>
    <w:rsid w:val="006C28A8"/>
    <w:rsid w:val="006C2EC3"/>
    <w:rsid w:val="006C4756"/>
    <w:rsid w:val="006C6507"/>
    <w:rsid w:val="006D0B4F"/>
    <w:rsid w:val="006D361E"/>
    <w:rsid w:val="006D7383"/>
    <w:rsid w:val="006E0D25"/>
    <w:rsid w:val="006E3545"/>
    <w:rsid w:val="006F1BFF"/>
    <w:rsid w:val="006F2550"/>
    <w:rsid w:val="00700BEB"/>
    <w:rsid w:val="00701F7A"/>
    <w:rsid w:val="007044AA"/>
    <w:rsid w:val="0070502B"/>
    <w:rsid w:val="00705656"/>
    <w:rsid w:val="0070586E"/>
    <w:rsid w:val="00706059"/>
    <w:rsid w:val="00706353"/>
    <w:rsid w:val="00706A0F"/>
    <w:rsid w:val="00706F95"/>
    <w:rsid w:val="00707F66"/>
    <w:rsid w:val="00710B02"/>
    <w:rsid w:val="007118AE"/>
    <w:rsid w:val="00716F5D"/>
    <w:rsid w:val="00717044"/>
    <w:rsid w:val="0072215C"/>
    <w:rsid w:val="007224A1"/>
    <w:rsid w:val="00724284"/>
    <w:rsid w:val="007272CE"/>
    <w:rsid w:val="0073144A"/>
    <w:rsid w:val="00731484"/>
    <w:rsid w:val="007315AF"/>
    <w:rsid w:val="007319B9"/>
    <w:rsid w:val="00734564"/>
    <w:rsid w:val="0073620F"/>
    <w:rsid w:val="0073743A"/>
    <w:rsid w:val="00741192"/>
    <w:rsid w:val="007417E5"/>
    <w:rsid w:val="00742804"/>
    <w:rsid w:val="00744663"/>
    <w:rsid w:val="00746E96"/>
    <w:rsid w:val="00750063"/>
    <w:rsid w:val="007514F1"/>
    <w:rsid w:val="00752294"/>
    <w:rsid w:val="00761515"/>
    <w:rsid w:val="007627C1"/>
    <w:rsid w:val="007632CE"/>
    <w:rsid w:val="0077010F"/>
    <w:rsid w:val="0077108A"/>
    <w:rsid w:val="00771D03"/>
    <w:rsid w:val="0077282D"/>
    <w:rsid w:val="00774792"/>
    <w:rsid w:val="00775977"/>
    <w:rsid w:val="00776A06"/>
    <w:rsid w:val="00780F21"/>
    <w:rsid w:val="00781BC2"/>
    <w:rsid w:val="00783340"/>
    <w:rsid w:val="00784D88"/>
    <w:rsid w:val="007972BD"/>
    <w:rsid w:val="00797A34"/>
    <w:rsid w:val="007A2619"/>
    <w:rsid w:val="007A3F43"/>
    <w:rsid w:val="007A4C2B"/>
    <w:rsid w:val="007A5710"/>
    <w:rsid w:val="007B02AB"/>
    <w:rsid w:val="007B041F"/>
    <w:rsid w:val="007B1A32"/>
    <w:rsid w:val="007B2101"/>
    <w:rsid w:val="007B3998"/>
    <w:rsid w:val="007B65BF"/>
    <w:rsid w:val="007C1CE7"/>
    <w:rsid w:val="007C3C61"/>
    <w:rsid w:val="007C4244"/>
    <w:rsid w:val="007C47FE"/>
    <w:rsid w:val="007C5518"/>
    <w:rsid w:val="007C5C5E"/>
    <w:rsid w:val="007C5F34"/>
    <w:rsid w:val="007C67E8"/>
    <w:rsid w:val="007C6976"/>
    <w:rsid w:val="007C7D8F"/>
    <w:rsid w:val="007D00C1"/>
    <w:rsid w:val="007D350E"/>
    <w:rsid w:val="007D5075"/>
    <w:rsid w:val="007E0E30"/>
    <w:rsid w:val="007E280D"/>
    <w:rsid w:val="007E4401"/>
    <w:rsid w:val="007E7012"/>
    <w:rsid w:val="007E7ACF"/>
    <w:rsid w:val="007F2734"/>
    <w:rsid w:val="007F2A89"/>
    <w:rsid w:val="007F2C10"/>
    <w:rsid w:val="007F542A"/>
    <w:rsid w:val="007F5C7E"/>
    <w:rsid w:val="007F5E6D"/>
    <w:rsid w:val="007F668D"/>
    <w:rsid w:val="007F7EB7"/>
    <w:rsid w:val="00802581"/>
    <w:rsid w:val="008025F1"/>
    <w:rsid w:val="008036C5"/>
    <w:rsid w:val="0080465A"/>
    <w:rsid w:val="0080532D"/>
    <w:rsid w:val="00807AD8"/>
    <w:rsid w:val="0081051F"/>
    <w:rsid w:val="008122A1"/>
    <w:rsid w:val="00813954"/>
    <w:rsid w:val="00815382"/>
    <w:rsid w:val="00816412"/>
    <w:rsid w:val="00817E37"/>
    <w:rsid w:val="00820BB1"/>
    <w:rsid w:val="008243A0"/>
    <w:rsid w:val="00827DF3"/>
    <w:rsid w:val="00830A15"/>
    <w:rsid w:val="00830E72"/>
    <w:rsid w:val="008327B0"/>
    <w:rsid w:val="008333CE"/>
    <w:rsid w:val="0083574A"/>
    <w:rsid w:val="00835AC3"/>
    <w:rsid w:val="00837F16"/>
    <w:rsid w:val="00840063"/>
    <w:rsid w:val="008400F8"/>
    <w:rsid w:val="008416A4"/>
    <w:rsid w:val="00841ACD"/>
    <w:rsid w:val="008433CC"/>
    <w:rsid w:val="00844680"/>
    <w:rsid w:val="00846685"/>
    <w:rsid w:val="00847832"/>
    <w:rsid w:val="00850639"/>
    <w:rsid w:val="00851542"/>
    <w:rsid w:val="008544A2"/>
    <w:rsid w:val="00854D4A"/>
    <w:rsid w:val="008604C3"/>
    <w:rsid w:val="00861204"/>
    <w:rsid w:val="00870338"/>
    <w:rsid w:val="00870897"/>
    <w:rsid w:val="00871C82"/>
    <w:rsid w:val="008738D4"/>
    <w:rsid w:val="008744EE"/>
    <w:rsid w:val="0087498A"/>
    <w:rsid w:val="00876A18"/>
    <w:rsid w:val="00876D5A"/>
    <w:rsid w:val="0088074C"/>
    <w:rsid w:val="008809D7"/>
    <w:rsid w:val="00881187"/>
    <w:rsid w:val="008812B0"/>
    <w:rsid w:val="00883C5D"/>
    <w:rsid w:val="00891364"/>
    <w:rsid w:val="00891900"/>
    <w:rsid w:val="00892671"/>
    <w:rsid w:val="00892687"/>
    <w:rsid w:val="0089433D"/>
    <w:rsid w:val="00896B4D"/>
    <w:rsid w:val="008A5155"/>
    <w:rsid w:val="008A557E"/>
    <w:rsid w:val="008A55CA"/>
    <w:rsid w:val="008A757A"/>
    <w:rsid w:val="008B07CF"/>
    <w:rsid w:val="008B767B"/>
    <w:rsid w:val="008C483D"/>
    <w:rsid w:val="008C68FB"/>
    <w:rsid w:val="008C6FB5"/>
    <w:rsid w:val="008D0C3F"/>
    <w:rsid w:val="008D1183"/>
    <w:rsid w:val="008D1959"/>
    <w:rsid w:val="008D5AD9"/>
    <w:rsid w:val="008D5F5E"/>
    <w:rsid w:val="008D70F0"/>
    <w:rsid w:val="008D7786"/>
    <w:rsid w:val="008E2EA5"/>
    <w:rsid w:val="008E49F9"/>
    <w:rsid w:val="008E5F50"/>
    <w:rsid w:val="008E7B5D"/>
    <w:rsid w:val="008F02C3"/>
    <w:rsid w:val="008F07FF"/>
    <w:rsid w:val="008F0B52"/>
    <w:rsid w:val="008F3A00"/>
    <w:rsid w:val="008F4FE1"/>
    <w:rsid w:val="008F524D"/>
    <w:rsid w:val="008F533A"/>
    <w:rsid w:val="008F658F"/>
    <w:rsid w:val="009017D8"/>
    <w:rsid w:val="00902CCD"/>
    <w:rsid w:val="00906320"/>
    <w:rsid w:val="00906506"/>
    <w:rsid w:val="0090681D"/>
    <w:rsid w:val="00906A6F"/>
    <w:rsid w:val="00907ED2"/>
    <w:rsid w:val="0091082B"/>
    <w:rsid w:val="00911421"/>
    <w:rsid w:val="0091272D"/>
    <w:rsid w:val="00912D00"/>
    <w:rsid w:val="00915325"/>
    <w:rsid w:val="0091589E"/>
    <w:rsid w:val="00916AF7"/>
    <w:rsid w:val="009173C5"/>
    <w:rsid w:val="00917C9D"/>
    <w:rsid w:val="00924931"/>
    <w:rsid w:val="009263A8"/>
    <w:rsid w:val="00927231"/>
    <w:rsid w:val="009274E8"/>
    <w:rsid w:val="00930277"/>
    <w:rsid w:val="009317A3"/>
    <w:rsid w:val="00933C5A"/>
    <w:rsid w:val="00933DBC"/>
    <w:rsid w:val="00934898"/>
    <w:rsid w:val="00935D3F"/>
    <w:rsid w:val="009361B7"/>
    <w:rsid w:val="009368D5"/>
    <w:rsid w:val="00940857"/>
    <w:rsid w:val="009429E5"/>
    <w:rsid w:val="00943106"/>
    <w:rsid w:val="00946D3C"/>
    <w:rsid w:val="00947515"/>
    <w:rsid w:val="00950660"/>
    <w:rsid w:val="009520AB"/>
    <w:rsid w:val="00952F21"/>
    <w:rsid w:val="009532E3"/>
    <w:rsid w:val="00955190"/>
    <w:rsid w:val="00955AE1"/>
    <w:rsid w:val="009565D8"/>
    <w:rsid w:val="00961CD4"/>
    <w:rsid w:val="009639FD"/>
    <w:rsid w:val="00963A04"/>
    <w:rsid w:val="009677A0"/>
    <w:rsid w:val="00967E7D"/>
    <w:rsid w:val="00970BE7"/>
    <w:rsid w:val="0097170D"/>
    <w:rsid w:val="00972D87"/>
    <w:rsid w:val="0097400D"/>
    <w:rsid w:val="00975FF6"/>
    <w:rsid w:val="009771F1"/>
    <w:rsid w:val="009776EB"/>
    <w:rsid w:val="0097772C"/>
    <w:rsid w:val="00980020"/>
    <w:rsid w:val="0098153E"/>
    <w:rsid w:val="00982112"/>
    <w:rsid w:val="009821BD"/>
    <w:rsid w:val="009848AC"/>
    <w:rsid w:val="009865F5"/>
    <w:rsid w:val="0098669A"/>
    <w:rsid w:val="00987BC0"/>
    <w:rsid w:val="00990106"/>
    <w:rsid w:val="00990948"/>
    <w:rsid w:val="00990F47"/>
    <w:rsid w:val="00991C57"/>
    <w:rsid w:val="00993846"/>
    <w:rsid w:val="00994A02"/>
    <w:rsid w:val="00994D7A"/>
    <w:rsid w:val="00996FCE"/>
    <w:rsid w:val="009A3EED"/>
    <w:rsid w:val="009B0620"/>
    <w:rsid w:val="009B1BF7"/>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E2622"/>
    <w:rsid w:val="009E27AD"/>
    <w:rsid w:val="009E29D4"/>
    <w:rsid w:val="009E4D9D"/>
    <w:rsid w:val="009E4DF4"/>
    <w:rsid w:val="009E5F7E"/>
    <w:rsid w:val="009F2199"/>
    <w:rsid w:val="009F3947"/>
    <w:rsid w:val="00A0104E"/>
    <w:rsid w:val="00A06B42"/>
    <w:rsid w:val="00A07B8D"/>
    <w:rsid w:val="00A1004F"/>
    <w:rsid w:val="00A10DA2"/>
    <w:rsid w:val="00A16353"/>
    <w:rsid w:val="00A16F16"/>
    <w:rsid w:val="00A16FD1"/>
    <w:rsid w:val="00A209E8"/>
    <w:rsid w:val="00A250E6"/>
    <w:rsid w:val="00A25ED9"/>
    <w:rsid w:val="00A3089F"/>
    <w:rsid w:val="00A310CC"/>
    <w:rsid w:val="00A31C50"/>
    <w:rsid w:val="00A32490"/>
    <w:rsid w:val="00A32CF5"/>
    <w:rsid w:val="00A32F7C"/>
    <w:rsid w:val="00A33F25"/>
    <w:rsid w:val="00A35ADF"/>
    <w:rsid w:val="00A367D0"/>
    <w:rsid w:val="00A3703F"/>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3D5A"/>
    <w:rsid w:val="00A650D5"/>
    <w:rsid w:val="00A656C0"/>
    <w:rsid w:val="00A6712E"/>
    <w:rsid w:val="00A67796"/>
    <w:rsid w:val="00A70E67"/>
    <w:rsid w:val="00A72621"/>
    <w:rsid w:val="00A73EE4"/>
    <w:rsid w:val="00A74A11"/>
    <w:rsid w:val="00A7658D"/>
    <w:rsid w:val="00A77A40"/>
    <w:rsid w:val="00A80995"/>
    <w:rsid w:val="00A82997"/>
    <w:rsid w:val="00A84864"/>
    <w:rsid w:val="00A95021"/>
    <w:rsid w:val="00A958CF"/>
    <w:rsid w:val="00AA0281"/>
    <w:rsid w:val="00AA07CF"/>
    <w:rsid w:val="00AA2096"/>
    <w:rsid w:val="00AA2481"/>
    <w:rsid w:val="00AA286E"/>
    <w:rsid w:val="00AA5AD3"/>
    <w:rsid w:val="00AA5DA5"/>
    <w:rsid w:val="00AB11A5"/>
    <w:rsid w:val="00AB342D"/>
    <w:rsid w:val="00AB397F"/>
    <w:rsid w:val="00AB40A9"/>
    <w:rsid w:val="00AB6215"/>
    <w:rsid w:val="00AB6787"/>
    <w:rsid w:val="00AB6E06"/>
    <w:rsid w:val="00AB7C30"/>
    <w:rsid w:val="00AC43A3"/>
    <w:rsid w:val="00AC6506"/>
    <w:rsid w:val="00AD0202"/>
    <w:rsid w:val="00AD22B9"/>
    <w:rsid w:val="00AD2EA6"/>
    <w:rsid w:val="00AD3BAB"/>
    <w:rsid w:val="00AD4106"/>
    <w:rsid w:val="00AD6A3A"/>
    <w:rsid w:val="00AE05F7"/>
    <w:rsid w:val="00AE1079"/>
    <w:rsid w:val="00AE2FD6"/>
    <w:rsid w:val="00AE64F6"/>
    <w:rsid w:val="00AF0261"/>
    <w:rsid w:val="00AF0E53"/>
    <w:rsid w:val="00AF228F"/>
    <w:rsid w:val="00AF671E"/>
    <w:rsid w:val="00B00BD0"/>
    <w:rsid w:val="00B0102F"/>
    <w:rsid w:val="00B02A7A"/>
    <w:rsid w:val="00B033AE"/>
    <w:rsid w:val="00B0528B"/>
    <w:rsid w:val="00B060D2"/>
    <w:rsid w:val="00B0650B"/>
    <w:rsid w:val="00B06511"/>
    <w:rsid w:val="00B06953"/>
    <w:rsid w:val="00B0737F"/>
    <w:rsid w:val="00B10699"/>
    <w:rsid w:val="00B1204B"/>
    <w:rsid w:val="00B131EA"/>
    <w:rsid w:val="00B1444D"/>
    <w:rsid w:val="00B15BAF"/>
    <w:rsid w:val="00B16607"/>
    <w:rsid w:val="00B17096"/>
    <w:rsid w:val="00B219F1"/>
    <w:rsid w:val="00B224EF"/>
    <w:rsid w:val="00B22D8D"/>
    <w:rsid w:val="00B22E11"/>
    <w:rsid w:val="00B25997"/>
    <w:rsid w:val="00B261CF"/>
    <w:rsid w:val="00B26639"/>
    <w:rsid w:val="00B31691"/>
    <w:rsid w:val="00B31783"/>
    <w:rsid w:val="00B333AF"/>
    <w:rsid w:val="00B3439E"/>
    <w:rsid w:val="00B361E9"/>
    <w:rsid w:val="00B36596"/>
    <w:rsid w:val="00B41102"/>
    <w:rsid w:val="00B413F8"/>
    <w:rsid w:val="00B42B02"/>
    <w:rsid w:val="00B43704"/>
    <w:rsid w:val="00B449CC"/>
    <w:rsid w:val="00B44B26"/>
    <w:rsid w:val="00B44B59"/>
    <w:rsid w:val="00B4601A"/>
    <w:rsid w:val="00B4603A"/>
    <w:rsid w:val="00B462A1"/>
    <w:rsid w:val="00B478BF"/>
    <w:rsid w:val="00B55575"/>
    <w:rsid w:val="00B56719"/>
    <w:rsid w:val="00B57B1E"/>
    <w:rsid w:val="00B6076A"/>
    <w:rsid w:val="00B60843"/>
    <w:rsid w:val="00B618EE"/>
    <w:rsid w:val="00B61D92"/>
    <w:rsid w:val="00B628CE"/>
    <w:rsid w:val="00B648BF"/>
    <w:rsid w:val="00B661BD"/>
    <w:rsid w:val="00B66F26"/>
    <w:rsid w:val="00B701A0"/>
    <w:rsid w:val="00B71D7E"/>
    <w:rsid w:val="00B759CE"/>
    <w:rsid w:val="00B7651F"/>
    <w:rsid w:val="00B80D46"/>
    <w:rsid w:val="00B84F3B"/>
    <w:rsid w:val="00B86046"/>
    <w:rsid w:val="00B8681A"/>
    <w:rsid w:val="00B86B97"/>
    <w:rsid w:val="00B901EA"/>
    <w:rsid w:val="00B93699"/>
    <w:rsid w:val="00B94B51"/>
    <w:rsid w:val="00B954E0"/>
    <w:rsid w:val="00BA5758"/>
    <w:rsid w:val="00BA5ABC"/>
    <w:rsid w:val="00BA5B53"/>
    <w:rsid w:val="00BA63C3"/>
    <w:rsid w:val="00BB1A2A"/>
    <w:rsid w:val="00BC26BC"/>
    <w:rsid w:val="00BC5313"/>
    <w:rsid w:val="00BC5968"/>
    <w:rsid w:val="00BC5BB4"/>
    <w:rsid w:val="00BC606F"/>
    <w:rsid w:val="00BC6BAC"/>
    <w:rsid w:val="00BD2068"/>
    <w:rsid w:val="00BD3D7C"/>
    <w:rsid w:val="00BD687F"/>
    <w:rsid w:val="00BD6A40"/>
    <w:rsid w:val="00BD7307"/>
    <w:rsid w:val="00BE0E77"/>
    <w:rsid w:val="00BE1D68"/>
    <w:rsid w:val="00BE209C"/>
    <w:rsid w:val="00BE46FC"/>
    <w:rsid w:val="00BE52E8"/>
    <w:rsid w:val="00BE5A9F"/>
    <w:rsid w:val="00BE639D"/>
    <w:rsid w:val="00BE6A7D"/>
    <w:rsid w:val="00BE6B4C"/>
    <w:rsid w:val="00BF3547"/>
    <w:rsid w:val="00BF45D5"/>
    <w:rsid w:val="00BF468A"/>
    <w:rsid w:val="00C031DB"/>
    <w:rsid w:val="00C10FE4"/>
    <w:rsid w:val="00C1123E"/>
    <w:rsid w:val="00C11718"/>
    <w:rsid w:val="00C14356"/>
    <w:rsid w:val="00C16A07"/>
    <w:rsid w:val="00C173AA"/>
    <w:rsid w:val="00C17EC4"/>
    <w:rsid w:val="00C201F4"/>
    <w:rsid w:val="00C210E3"/>
    <w:rsid w:val="00C24F83"/>
    <w:rsid w:val="00C251A5"/>
    <w:rsid w:val="00C27BF1"/>
    <w:rsid w:val="00C30209"/>
    <w:rsid w:val="00C34803"/>
    <w:rsid w:val="00C34D13"/>
    <w:rsid w:val="00C410DE"/>
    <w:rsid w:val="00C43194"/>
    <w:rsid w:val="00C4348A"/>
    <w:rsid w:val="00C45DAA"/>
    <w:rsid w:val="00C461C7"/>
    <w:rsid w:val="00C47731"/>
    <w:rsid w:val="00C53440"/>
    <w:rsid w:val="00C53E75"/>
    <w:rsid w:val="00C54C42"/>
    <w:rsid w:val="00C5758B"/>
    <w:rsid w:val="00C61017"/>
    <w:rsid w:val="00C61684"/>
    <w:rsid w:val="00C616AF"/>
    <w:rsid w:val="00C62958"/>
    <w:rsid w:val="00C63719"/>
    <w:rsid w:val="00C63D4F"/>
    <w:rsid w:val="00C64229"/>
    <w:rsid w:val="00C66EEF"/>
    <w:rsid w:val="00C67BD0"/>
    <w:rsid w:val="00C720CD"/>
    <w:rsid w:val="00C73A63"/>
    <w:rsid w:val="00C74185"/>
    <w:rsid w:val="00C75332"/>
    <w:rsid w:val="00C76435"/>
    <w:rsid w:val="00C76DE2"/>
    <w:rsid w:val="00C770E3"/>
    <w:rsid w:val="00C82CF7"/>
    <w:rsid w:val="00C853C8"/>
    <w:rsid w:val="00C863B0"/>
    <w:rsid w:val="00C90AA6"/>
    <w:rsid w:val="00C92252"/>
    <w:rsid w:val="00C9239D"/>
    <w:rsid w:val="00C94A1C"/>
    <w:rsid w:val="00C94B1F"/>
    <w:rsid w:val="00C95F52"/>
    <w:rsid w:val="00C97074"/>
    <w:rsid w:val="00CA0D29"/>
    <w:rsid w:val="00CA0DD5"/>
    <w:rsid w:val="00CA2309"/>
    <w:rsid w:val="00CA2FEF"/>
    <w:rsid w:val="00CA6499"/>
    <w:rsid w:val="00CA7602"/>
    <w:rsid w:val="00CA7F8F"/>
    <w:rsid w:val="00CB1418"/>
    <w:rsid w:val="00CB21F4"/>
    <w:rsid w:val="00CB2298"/>
    <w:rsid w:val="00CB25CE"/>
    <w:rsid w:val="00CB2800"/>
    <w:rsid w:val="00CB7F76"/>
    <w:rsid w:val="00CC37FD"/>
    <w:rsid w:val="00CD07B2"/>
    <w:rsid w:val="00CD09EB"/>
    <w:rsid w:val="00CD4DCE"/>
    <w:rsid w:val="00CE113A"/>
    <w:rsid w:val="00CE196D"/>
    <w:rsid w:val="00CE1B28"/>
    <w:rsid w:val="00CE2440"/>
    <w:rsid w:val="00CE25AA"/>
    <w:rsid w:val="00CE397C"/>
    <w:rsid w:val="00CE6F3F"/>
    <w:rsid w:val="00CF01A8"/>
    <w:rsid w:val="00CF0C9F"/>
    <w:rsid w:val="00CF1606"/>
    <w:rsid w:val="00D013D6"/>
    <w:rsid w:val="00D02919"/>
    <w:rsid w:val="00D030D3"/>
    <w:rsid w:val="00D053BC"/>
    <w:rsid w:val="00D06956"/>
    <w:rsid w:val="00D0766D"/>
    <w:rsid w:val="00D10A0D"/>
    <w:rsid w:val="00D10FBC"/>
    <w:rsid w:val="00D11C43"/>
    <w:rsid w:val="00D14F8A"/>
    <w:rsid w:val="00D15EB5"/>
    <w:rsid w:val="00D161C8"/>
    <w:rsid w:val="00D16608"/>
    <w:rsid w:val="00D16AAF"/>
    <w:rsid w:val="00D1752A"/>
    <w:rsid w:val="00D21C37"/>
    <w:rsid w:val="00D22D0E"/>
    <w:rsid w:val="00D274CD"/>
    <w:rsid w:val="00D304FA"/>
    <w:rsid w:val="00D31F1E"/>
    <w:rsid w:val="00D33602"/>
    <w:rsid w:val="00D359F4"/>
    <w:rsid w:val="00D36AF1"/>
    <w:rsid w:val="00D40077"/>
    <w:rsid w:val="00D422B4"/>
    <w:rsid w:val="00D4573D"/>
    <w:rsid w:val="00D46A37"/>
    <w:rsid w:val="00D5157D"/>
    <w:rsid w:val="00D51861"/>
    <w:rsid w:val="00D51D6B"/>
    <w:rsid w:val="00D52E0C"/>
    <w:rsid w:val="00D545E3"/>
    <w:rsid w:val="00D62C8E"/>
    <w:rsid w:val="00D62CAC"/>
    <w:rsid w:val="00D63BD9"/>
    <w:rsid w:val="00D6459B"/>
    <w:rsid w:val="00D649FB"/>
    <w:rsid w:val="00D65A88"/>
    <w:rsid w:val="00D7131C"/>
    <w:rsid w:val="00D73D12"/>
    <w:rsid w:val="00D755A2"/>
    <w:rsid w:val="00D75F8B"/>
    <w:rsid w:val="00D811F0"/>
    <w:rsid w:val="00D81614"/>
    <w:rsid w:val="00D8186F"/>
    <w:rsid w:val="00D81998"/>
    <w:rsid w:val="00D84E58"/>
    <w:rsid w:val="00D850E7"/>
    <w:rsid w:val="00D85D5E"/>
    <w:rsid w:val="00D85F55"/>
    <w:rsid w:val="00D8749B"/>
    <w:rsid w:val="00D92713"/>
    <w:rsid w:val="00D92EEA"/>
    <w:rsid w:val="00D92F6F"/>
    <w:rsid w:val="00D93BE6"/>
    <w:rsid w:val="00D95D23"/>
    <w:rsid w:val="00D96C1F"/>
    <w:rsid w:val="00DA47C4"/>
    <w:rsid w:val="00DA5B64"/>
    <w:rsid w:val="00DB3E3F"/>
    <w:rsid w:val="00DB5421"/>
    <w:rsid w:val="00DB73EF"/>
    <w:rsid w:val="00DB78E3"/>
    <w:rsid w:val="00DC03BF"/>
    <w:rsid w:val="00DC23A2"/>
    <w:rsid w:val="00DC335A"/>
    <w:rsid w:val="00DC40E0"/>
    <w:rsid w:val="00DC4D45"/>
    <w:rsid w:val="00DC606C"/>
    <w:rsid w:val="00DC7425"/>
    <w:rsid w:val="00DD06D5"/>
    <w:rsid w:val="00DD0712"/>
    <w:rsid w:val="00DD0801"/>
    <w:rsid w:val="00DD341B"/>
    <w:rsid w:val="00DD371F"/>
    <w:rsid w:val="00DD4695"/>
    <w:rsid w:val="00DD7557"/>
    <w:rsid w:val="00DE0036"/>
    <w:rsid w:val="00DE1E13"/>
    <w:rsid w:val="00DE2E22"/>
    <w:rsid w:val="00DE397F"/>
    <w:rsid w:val="00DE39F8"/>
    <w:rsid w:val="00DF460E"/>
    <w:rsid w:val="00DF4B37"/>
    <w:rsid w:val="00DF590B"/>
    <w:rsid w:val="00DF754A"/>
    <w:rsid w:val="00DF7588"/>
    <w:rsid w:val="00E00D7C"/>
    <w:rsid w:val="00E028A8"/>
    <w:rsid w:val="00E047F7"/>
    <w:rsid w:val="00E04989"/>
    <w:rsid w:val="00E05F3E"/>
    <w:rsid w:val="00E06841"/>
    <w:rsid w:val="00E104F5"/>
    <w:rsid w:val="00E10F3A"/>
    <w:rsid w:val="00E136EF"/>
    <w:rsid w:val="00E138B5"/>
    <w:rsid w:val="00E14124"/>
    <w:rsid w:val="00E14DB2"/>
    <w:rsid w:val="00E15071"/>
    <w:rsid w:val="00E164CF"/>
    <w:rsid w:val="00E16EA6"/>
    <w:rsid w:val="00E1772C"/>
    <w:rsid w:val="00E20394"/>
    <w:rsid w:val="00E20DDB"/>
    <w:rsid w:val="00E20EF5"/>
    <w:rsid w:val="00E2140D"/>
    <w:rsid w:val="00E2152E"/>
    <w:rsid w:val="00E21670"/>
    <w:rsid w:val="00E22498"/>
    <w:rsid w:val="00E25F36"/>
    <w:rsid w:val="00E266CE"/>
    <w:rsid w:val="00E31CD7"/>
    <w:rsid w:val="00E32844"/>
    <w:rsid w:val="00E43401"/>
    <w:rsid w:val="00E445B7"/>
    <w:rsid w:val="00E465E8"/>
    <w:rsid w:val="00E47D57"/>
    <w:rsid w:val="00E5265B"/>
    <w:rsid w:val="00E52E29"/>
    <w:rsid w:val="00E54718"/>
    <w:rsid w:val="00E635AE"/>
    <w:rsid w:val="00E63A1F"/>
    <w:rsid w:val="00E64489"/>
    <w:rsid w:val="00E648FB"/>
    <w:rsid w:val="00E67D84"/>
    <w:rsid w:val="00E71FC6"/>
    <w:rsid w:val="00E732FD"/>
    <w:rsid w:val="00E75D57"/>
    <w:rsid w:val="00E778E5"/>
    <w:rsid w:val="00E81569"/>
    <w:rsid w:val="00E83459"/>
    <w:rsid w:val="00E83AB0"/>
    <w:rsid w:val="00E8417A"/>
    <w:rsid w:val="00E85002"/>
    <w:rsid w:val="00E85EDB"/>
    <w:rsid w:val="00E87153"/>
    <w:rsid w:val="00E87448"/>
    <w:rsid w:val="00E93C48"/>
    <w:rsid w:val="00E96AAD"/>
    <w:rsid w:val="00E96C7F"/>
    <w:rsid w:val="00E974BB"/>
    <w:rsid w:val="00EA0BAD"/>
    <w:rsid w:val="00EA1CA8"/>
    <w:rsid w:val="00EA1E82"/>
    <w:rsid w:val="00EA21EF"/>
    <w:rsid w:val="00EA226A"/>
    <w:rsid w:val="00EA2A10"/>
    <w:rsid w:val="00EA5D82"/>
    <w:rsid w:val="00EA6EAC"/>
    <w:rsid w:val="00EB0106"/>
    <w:rsid w:val="00EB2F31"/>
    <w:rsid w:val="00EB4A0C"/>
    <w:rsid w:val="00EB56FB"/>
    <w:rsid w:val="00EB5E82"/>
    <w:rsid w:val="00EB6976"/>
    <w:rsid w:val="00EB7D68"/>
    <w:rsid w:val="00EB7FC4"/>
    <w:rsid w:val="00EC00BC"/>
    <w:rsid w:val="00EC0B8F"/>
    <w:rsid w:val="00EC177E"/>
    <w:rsid w:val="00EC33B4"/>
    <w:rsid w:val="00EC7C28"/>
    <w:rsid w:val="00EC7D8D"/>
    <w:rsid w:val="00ED0269"/>
    <w:rsid w:val="00ED1E1F"/>
    <w:rsid w:val="00ED7049"/>
    <w:rsid w:val="00ED7F2F"/>
    <w:rsid w:val="00EE0046"/>
    <w:rsid w:val="00EE0442"/>
    <w:rsid w:val="00EE1048"/>
    <w:rsid w:val="00EE16F1"/>
    <w:rsid w:val="00EE2EE0"/>
    <w:rsid w:val="00EE40AC"/>
    <w:rsid w:val="00EE484B"/>
    <w:rsid w:val="00EE527D"/>
    <w:rsid w:val="00EF19DB"/>
    <w:rsid w:val="00EF1F92"/>
    <w:rsid w:val="00EF31A3"/>
    <w:rsid w:val="00EF72C3"/>
    <w:rsid w:val="00F0049D"/>
    <w:rsid w:val="00F007E1"/>
    <w:rsid w:val="00F02D86"/>
    <w:rsid w:val="00F031DF"/>
    <w:rsid w:val="00F03FE8"/>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375F"/>
    <w:rsid w:val="00F347E5"/>
    <w:rsid w:val="00F352A5"/>
    <w:rsid w:val="00F35586"/>
    <w:rsid w:val="00F3597A"/>
    <w:rsid w:val="00F46296"/>
    <w:rsid w:val="00F545AF"/>
    <w:rsid w:val="00F57686"/>
    <w:rsid w:val="00F60350"/>
    <w:rsid w:val="00F63518"/>
    <w:rsid w:val="00F65FEB"/>
    <w:rsid w:val="00F70035"/>
    <w:rsid w:val="00F701BA"/>
    <w:rsid w:val="00F71663"/>
    <w:rsid w:val="00F7337C"/>
    <w:rsid w:val="00F736A9"/>
    <w:rsid w:val="00F73A22"/>
    <w:rsid w:val="00F744FC"/>
    <w:rsid w:val="00F750BC"/>
    <w:rsid w:val="00F75910"/>
    <w:rsid w:val="00F77A61"/>
    <w:rsid w:val="00F80F97"/>
    <w:rsid w:val="00F846AE"/>
    <w:rsid w:val="00F84FE2"/>
    <w:rsid w:val="00F85ECC"/>
    <w:rsid w:val="00F8631F"/>
    <w:rsid w:val="00F87D58"/>
    <w:rsid w:val="00F905A4"/>
    <w:rsid w:val="00F906C0"/>
    <w:rsid w:val="00F9126F"/>
    <w:rsid w:val="00F9258A"/>
    <w:rsid w:val="00F93A25"/>
    <w:rsid w:val="00F96CE2"/>
    <w:rsid w:val="00FA1911"/>
    <w:rsid w:val="00FA4D07"/>
    <w:rsid w:val="00FA6602"/>
    <w:rsid w:val="00FB0594"/>
    <w:rsid w:val="00FB11EE"/>
    <w:rsid w:val="00FB1AA6"/>
    <w:rsid w:val="00FB298B"/>
    <w:rsid w:val="00FB37BC"/>
    <w:rsid w:val="00FB685D"/>
    <w:rsid w:val="00FB6AD8"/>
    <w:rsid w:val="00FB784A"/>
    <w:rsid w:val="00FC0474"/>
    <w:rsid w:val="00FC0884"/>
    <w:rsid w:val="00FC099E"/>
    <w:rsid w:val="00FC0DFB"/>
    <w:rsid w:val="00FC18A5"/>
    <w:rsid w:val="00FC19E6"/>
    <w:rsid w:val="00FC207A"/>
    <w:rsid w:val="00FC307C"/>
    <w:rsid w:val="00FC3CA7"/>
    <w:rsid w:val="00FC5846"/>
    <w:rsid w:val="00FD2D26"/>
    <w:rsid w:val="00FD36F0"/>
    <w:rsid w:val="00FD774A"/>
    <w:rsid w:val="00FE0BF6"/>
    <w:rsid w:val="00FE4807"/>
    <w:rsid w:val="00FE48A8"/>
    <w:rsid w:val="00FE5E4D"/>
    <w:rsid w:val="00FE663C"/>
    <w:rsid w:val="00FF073F"/>
    <w:rsid w:val="00FF1043"/>
    <w:rsid w:val="00FF1A07"/>
    <w:rsid w:val="00FF2BE6"/>
    <w:rsid w:val="00FF2ECC"/>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00383926">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25772233">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www.nrf.com/modules.php?name=News&amp;op=viewlive&amp;sp_id=1225" TargetMode="External"/><Relationship Id="rId26"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hyperlink" Target="http://www.conference-board.org" TargetMode="Externa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Tim.Graeff@mtsu.edu" TargetMode="External"/><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hyperlink" Target="http://www.mtsu.edu/consume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ference-board.org" TargetMode="External"/><Relationship Id="rId2" Type="http://schemas.openxmlformats.org/officeDocument/2006/relationships/hyperlink" Target="http://www.nrf.com/modules.php?name=News&amp;op=viewlive&amp;sp_id=1438" TargetMode="External"/><Relationship Id="rId1" Type="http://schemas.openxmlformats.org/officeDocument/2006/relationships/hyperlink" Target="http://www.consumerfed.org/news/61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Sheet1!$B$1:$K$1</c:f>
              <c:strCache>
                <c:ptCount val="10"/>
                <c:pt idx="0">
                  <c:v>De10</c:v>
                </c:pt>
                <c:pt idx="1">
                  <c:v>Fe11</c:v>
                </c:pt>
                <c:pt idx="2">
                  <c:v>Ap11</c:v>
                </c:pt>
                <c:pt idx="3">
                  <c:v>Ma11</c:v>
                </c:pt>
                <c:pt idx="4">
                  <c:v>Se11</c:v>
                </c:pt>
                <c:pt idx="5">
                  <c:v>De11</c:v>
                </c:pt>
                <c:pt idx="6">
                  <c:v>Ja12</c:v>
                </c:pt>
                <c:pt idx="7">
                  <c:v>Ap12</c:v>
                </c:pt>
                <c:pt idx="8">
                  <c:v>Se12</c:v>
                </c:pt>
                <c:pt idx="9">
                  <c:v>No12</c:v>
                </c:pt>
              </c:strCache>
            </c:strRef>
          </c:cat>
          <c:val>
            <c:numRef>
              <c:f>Sheet1!$B$2:$K$2</c:f>
              <c:numCache>
                <c:formatCode>General</c:formatCode>
                <c:ptCount val="10"/>
                <c:pt idx="0">
                  <c:v>69</c:v>
                </c:pt>
                <c:pt idx="1">
                  <c:v>129</c:v>
                </c:pt>
                <c:pt idx="2">
                  <c:v>54</c:v>
                </c:pt>
                <c:pt idx="3">
                  <c:v>63</c:v>
                </c:pt>
                <c:pt idx="4">
                  <c:v>27</c:v>
                </c:pt>
                <c:pt idx="5">
                  <c:v>112</c:v>
                </c:pt>
                <c:pt idx="6">
                  <c:v>151</c:v>
                </c:pt>
                <c:pt idx="7">
                  <c:v>184</c:v>
                </c:pt>
                <c:pt idx="8">
                  <c:v>178</c:v>
                </c:pt>
                <c:pt idx="9">
                  <c:v>106</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Sheet1!$B$1:$K$1</c:f>
              <c:strCache>
                <c:ptCount val="10"/>
                <c:pt idx="0">
                  <c:v>De10</c:v>
                </c:pt>
                <c:pt idx="1">
                  <c:v>Fe11</c:v>
                </c:pt>
                <c:pt idx="2">
                  <c:v>Ap11</c:v>
                </c:pt>
                <c:pt idx="3">
                  <c:v>Ma11</c:v>
                </c:pt>
                <c:pt idx="4">
                  <c:v>Se11</c:v>
                </c:pt>
                <c:pt idx="5">
                  <c:v>De11</c:v>
                </c:pt>
                <c:pt idx="6">
                  <c:v>Ja12</c:v>
                </c:pt>
                <c:pt idx="7">
                  <c:v>Ap12</c:v>
                </c:pt>
                <c:pt idx="8">
                  <c:v>Se12</c:v>
                </c:pt>
                <c:pt idx="9">
                  <c:v>No12</c:v>
                </c:pt>
              </c:strCache>
            </c:strRef>
          </c:cat>
          <c:val>
            <c:numRef>
              <c:f>Sheet1!$B$3:$K$3</c:f>
              <c:numCache>
                <c:formatCode>General</c:formatCode>
                <c:ptCount val="10"/>
                <c:pt idx="0">
                  <c:v>-90</c:v>
                </c:pt>
                <c:pt idx="1">
                  <c:v>-74</c:v>
                </c:pt>
                <c:pt idx="2">
                  <c:v>-83</c:v>
                </c:pt>
                <c:pt idx="3">
                  <c:v>-80</c:v>
                </c:pt>
                <c:pt idx="4">
                  <c:v>-86</c:v>
                </c:pt>
                <c:pt idx="5">
                  <c:v>-64</c:v>
                </c:pt>
                <c:pt idx="6">
                  <c:v>-55</c:v>
                </c:pt>
                <c:pt idx="7">
                  <c:v>-24</c:v>
                </c:pt>
                <c:pt idx="8">
                  <c:v>-26</c:v>
                </c:pt>
                <c:pt idx="9">
                  <c:v>-22</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Sheet1!$B$1:$K$1</c:f>
              <c:strCache>
                <c:ptCount val="10"/>
                <c:pt idx="0">
                  <c:v>De10</c:v>
                </c:pt>
                <c:pt idx="1">
                  <c:v>Fe11</c:v>
                </c:pt>
                <c:pt idx="2">
                  <c:v>Ap11</c:v>
                </c:pt>
                <c:pt idx="3">
                  <c:v>Ma11</c:v>
                </c:pt>
                <c:pt idx="4">
                  <c:v>Se11</c:v>
                </c:pt>
                <c:pt idx="5">
                  <c:v>De11</c:v>
                </c:pt>
                <c:pt idx="6">
                  <c:v>Ja12</c:v>
                </c:pt>
                <c:pt idx="7">
                  <c:v>Ap12</c:v>
                </c:pt>
                <c:pt idx="8">
                  <c:v>Se12</c:v>
                </c:pt>
                <c:pt idx="9">
                  <c:v>No12</c:v>
                </c:pt>
              </c:strCache>
            </c:strRef>
          </c:cat>
          <c:val>
            <c:numRef>
              <c:f>Sheet1!$B$4:$K$4</c:f>
              <c:numCache>
                <c:formatCode>General</c:formatCode>
                <c:ptCount val="10"/>
                <c:pt idx="0">
                  <c:v>86</c:v>
                </c:pt>
                <c:pt idx="1">
                  <c:v>123</c:v>
                </c:pt>
                <c:pt idx="2">
                  <c:v>75</c:v>
                </c:pt>
                <c:pt idx="3">
                  <c:v>99</c:v>
                </c:pt>
                <c:pt idx="4">
                  <c:v>59</c:v>
                </c:pt>
                <c:pt idx="5">
                  <c:v>97</c:v>
                </c:pt>
                <c:pt idx="6">
                  <c:v>125</c:v>
                </c:pt>
                <c:pt idx="7">
                  <c:v>115</c:v>
                </c:pt>
                <c:pt idx="8">
                  <c:v>112</c:v>
                </c:pt>
                <c:pt idx="9">
                  <c:v>55</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Sheet1!$B$1:$K$1</c:f>
              <c:strCache>
                <c:ptCount val="10"/>
                <c:pt idx="0">
                  <c:v>De10</c:v>
                </c:pt>
                <c:pt idx="1">
                  <c:v>Fe11</c:v>
                </c:pt>
                <c:pt idx="2">
                  <c:v>Ap11</c:v>
                </c:pt>
                <c:pt idx="3">
                  <c:v>Ma11</c:v>
                </c:pt>
                <c:pt idx="4">
                  <c:v>Se11</c:v>
                </c:pt>
                <c:pt idx="5">
                  <c:v>De11</c:v>
                </c:pt>
                <c:pt idx="6">
                  <c:v>Ja12</c:v>
                </c:pt>
                <c:pt idx="7">
                  <c:v>Ap12</c:v>
                </c:pt>
                <c:pt idx="8">
                  <c:v>Se12</c:v>
                </c:pt>
                <c:pt idx="9">
                  <c:v>No12</c:v>
                </c:pt>
              </c:strCache>
            </c:strRef>
          </c:cat>
          <c:val>
            <c:numRef>
              <c:f>Sheet1!$B$5:$K$5</c:f>
              <c:numCache>
                <c:formatCode>General</c:formatCode>
                <c:ptCount val="10"/>
                <c:pt idx="0">
                  <c:v>73</c:v>
                </c:pt>
                <c:pt idx="1">
                  <c:v>80</c:v>
                </c:pt>
                <c:pt idx="2">
                  <c:v>62</c:v>
                </c:pt>
                <c:pt idx="3">
                  <c:v>44</c:v>
                </c:pt>
                <c:pt idx="4">
                  <c:v>54</c:v>
                </c:pt>
                <c:pt idx="5">
                  <c:v>79</c:v>
                </c:pt>
                <c:pt idx="6">
                  <c:v>81</c:v>
                </c:pt>
                <c:pt idx="7">
                  <c:v>93</c:v>
                </c:pt>
                <c:pt idx="8">
                  <c:v>92</c:v>
                </c:pt>
                <c:pt idx="9">
                  <c:v>73</c:v>
                </c:pt>
              </c:numCache>
            </c:numRef>
          </c:val>
          <c:smooth val="0"/>
        </c:ser>
        <c:dLbls>
          <c:showLegendKey val="0"/>
          <c:showVal val="0"/>
          <c:showCatName val="0"/>
          <c:showSerName val="0"/>
          <c:showPercent val="0"/>
          <c:showBubbleSize val="0"/>
        </c:dLbls>
        <c:marker val="1"/>
        <c:smooth val="0"/>
        <c:axId val="127021824"/>
        <c:axId val="127022976"/>
      </c:lineChart>
      <c:catAx>
        <c:axId val="127021824"/>
        <c:scaling>
          <c:orientation val="minMax"/>
        </c:scaling>
        <c:delete val="0"/>
        <c:axPos val="b"/>
        <c:numFmt formatCode="General" sourceLinked="1"/>
        <c:majorTickMark val="out"/>
        <c:minorTickMark val="none"/>
        <c:tickLblPos val="nextTo"/>
        <c:txPr>
          <a:bodyPr/>
          <a:lstStyle/>
          <a:p>
            <a:pPr>
              <a:defRPr sz="1200" b="1">
                <a:latin typeface="Arial" pitchFamily="34" charset="0"/>
                <a:cs typeface="Arial" pitchFamily="34" charset="0"/>
              </a:defRPr>
            </a:pPr>
            <a:endParaRPr lang="en-US"/>
          </a:p>
        </c:txPr>
        <c:crossAx val="127022976"/>
        <c:crosses val="autoZero"/>
        <c:auto val="1"/>
        <c:lblAlgn val="ctr"/>
        <c:lblOffset val="100"/>
        <c:noMultiLvlLbl val="0"/>
      </c:catAx>
      <c:valAx>
        <c:axId val="127022976"/>
        <c:scaling>
          <c:orientation val="minMax"/>
          <c:max val="200"/>
          <c:min val="-150"/>
        </c:scaling>
        <c:delete val="0"/>
        <c:axPos val="l"/>
        <c:majorGridlines/>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127021824"/>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a:pPr>
            <a:r>
              <a:rPr lang="en-US" sz="1199" b="1" i="0"/>
              <a:t>Do</a:t>
            </a:r>
            <a:r>
              <a:rPr lang="en-US" sz="1199" b="1" i="0" baseline="0"/>
              <a:t> you think that in the next year the overall amount of taxes that you pay will increase, decrease, or stay about the same?</a:t>
            </a:r>
            <a:endParaRPr lang="en-US" sz="1200" b="1" i="0"/>
          </a:p>
        </c:rich>
      </c:tx>
      <c:layout>
        <c:manualLayout>
          <c:xMode val="edge"/>
          <c:yMode val="edge"/>
          <c:x val="0.10462387853692279"/>
          <c:y val="2.3809523809523812E-2"/>
        </c:manualLayout>
      </c:layout>
      <c:overlay val="0"/>
    </c:title>
    <c:autoTitleDeleted val="0"/>
    <c:plotArea>
      <c:layout/>
      <c:barChart>
        <c:barDir val="col"/>
        <c:grouping val="clustered"/>
        <c:varyColors val="0"/>
        <c:ser>
          <c:idx val="0"/>
          <c:order val="0"/>
          <c:tx>
            <c:strRef>
              <c:f>Sheet1!$B$1</c:f>
              <c:strCache>
                <c:ptCount val="1"/>
                <c:pt idx="0">
                  <c:v>Dec'11</c:v>
                </c:pt>
              </c:strCache>
            </c:strRef>
          </c:tx>
          <c:spPr>
            <a:solidFill>
              <a:srgbClr val="4F81B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Sheet1!$B$2:$B$4</c:f>
              <c:numCache>
                <c:formatCode>0%</c:formatCode>
                <c:ptCount val="3"/>
                <c:pt idx="0">
                  <c:v>0.08</c:v>
                </c:pt>
                <c:pt idx="1">
                  <c:v>0.37</c:v>
                </c:pt>
                <c:pt idx="2">
                  <c:v>0.54</c:v>
                </c:pt>
              </c:numCache>
            </c:numRef>
          </c:val>
        </c:ser>
        <c:ser>
          <c:idx val="1"/>
          <c:order val="1"/>
          <c:tx>
            <c:strRef>
              <c:f>Sheet1!$C$1</c:f>
              <c:strCache>
                <c:ptCount val="1"/>
                <c:pt idx="0">
                  <c:v>Jan'12</c:v>
                </c:pt>
              </c:strCache>
            </c:strRef>
          </c:tx>
          <c:spPr>
            <a:solidFill>
              <a:schemeClr val="accent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Sheet1!$C$2:$C$4</c:f>
              <c:numCache>
                <c:formatCode>0%</c:formatCode>
                <c:ptCount val="3"/>
                <c:pt idx="0">
                  <c:v>0.06</c:v>
                </c:pt>
                <c:pt idx="1">
                  <c:v>0.45</c:v>
                </c:pt>
                <c:pt idx="2">
                  <c:v>0.49</c:v>
                </c:pt>
              </c:numCache>
            </c:numRef>
          </c:val>
        </c:ser>
        <c:ser>
          <c:idx val="2"/>
          <c:order val="2"/>
          <c:tx>
            <c:strRef>
              <c:f>Sheet1!$D$1</c:f>
              <c:strCache>
                <c:ptCount val="1"/>
                <c:pt idx="0">
                  <c:v>Apr'12</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Sheet1!$D$2:$D$4</c:f>
              <c:numCache>
                <c:formatCode>0%</c:formatCode>
                <c:ptCount val="3"/>
                <c:pt idx="0">
                  <c:v>0.05</c:v>
                </c:pt>
                <c:pt idx="1">
                  <c:v>0.36</c:v>
                </c:pt>
                <c:pt idx="2">
                  <c:v>0.6</c:v>
                </c:pt>
              </c:numCache>
            </c:numRef>
          </c:val>
        </c:ser>
        <c:ser>
          <c:idx val="3"/>
          <c:order val="3"/>
          <c:tx>
            <c:strRef>
              <c:f>Sheet1!$E$1</c:f>
              <c:strCache>
                <c:ptCount val="1"/>
                <c:pt idx="0">
                  <c:v>Sept'12</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Sheet1!$E$2:$E$4</c:f>
              <c:numCache>
                <c:formatCode>0%</c:formatCode>
                <c:ptCount val="3"/>
                <c:pt idx="0">
                  <c:v>0.09</c:v>
                </c:pt>
                <c:pt idx="1">
                  <c:v>0.33</c:v>
                </c:pt>
                <c:pt idx="2">
                  <c:v>0.59</c:v>
                </c:pt>
              </c:numCache>
            </c:numRef>
          </c:val>
        </c:ser>
        <c:ser>
          <c:idx val="4"/>
          <c:order val="4"/>
          <c:tx>
            <c:strRef>
              <c:f>Sheet1!$F$1</c:f>
              <c:strCache>
                <c:ptCount val="1"/>
                <c:pt idx="0">
                  <c:v>Nov'12</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Sheet1!$F$2:$F$4</c:f>
              <c:numCache>
                <c:formatCode>0%</c:formatCode>
                <c:ptCount val="3"/>
                <c:pt idx="0">
                  <c:v>0.03</c:v>
                </c:pt>
                <c:pt idx="1">
                  <c:v>0.23</c:v>
                </c:pt>
                <c:pt idx="2">
                  <c:v>0.74</c:v>
                </c:pt>
              </c:numCache>
            </c:numRef>
          </c:val>
        </c:ser>
        <c:dLbls>
          <c:showLegendKey val="0"/>
          <c:showVal val="1"/>
          <c:showCatName val="0"/>
          <c:showSerName val="0"/>
          <c:showPercent val="0"/>
          <c:showBubbleSize val="0"/>
        </c:dLbls>
        <c:gapWidth val="150"/>
        <c:axId val="130944000"/>
        <c:axId val="131142400"/>
      </c:barChart>
      <c:catAx>
        <c:axId val="130944000"/>
        <c:scaling>
          <c:orientation val="minMax"/>
        </c:scaling>
        <c:delete val="0"/>
        <c:axPos val="b"/>
        <c:numFmt formatCode="General" sourceLinked="1"/>
        <c:majorTickMark val="out"/>
        <c:minorTickMark val="none"/>
        <c:tickLblPos val="nextTo"/>
        <c:txPr>
          <a:bodyPr/>
          <a:lstStyle/>
          <a:p>
            <a:pPr>
              <a:defRPr b="0"/>
            </a:pPr>
            <a:endParaRPr lang="en-US"/>
          </a:p>
        </c:txPr>
        <c:crossAx val="131142400"/>
        <c:crosses val="autoZero"/>
        <c:auto val="1"/>
        <c:lblAlgn val="ctr"/>
        <c:lblOffset val="100"/>
        <c:noMultiLvlLbl val="0"/>
      </c:catAx>
      <c:valAx>
        <c:axId val="131142400"/>
        <c:scaling>
          <c:orientation val="minMax"/>
        </c:scaling>
        <c:delete val="0"/>
        <c:axPos val="l"/>
        <c:numFmt formatCode="0%" sourceLinked="1"/>
        <c:majorTickMark val="out"/>
        <c:minorTickMark val="none"/>
        <c:tickLblPos val="nextTo"/>
        <c:txPr>
          <a:bodyPr/>
          <a:lstStyle/>
          <a:p>
            <a:pPr>
              <a:defRPr b="0"/>
            </a:pPr>
            <a:endParaRPr lang="en-US"/>
          </a:p>
        </c:txPr>
        <c:crossAx val="130944000"/>
        <c:crosses val="autoZero"/>
        <c:crossBetween val="between"/>
      </c:valAx>
      <c:spPr>
        <a:ln>
          <a:noFill/>
        </a:ln>
      </c:spPr>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a:pPr>
            <a:r>
              <a:rPr lang="en-US" sz="1199" b="1"/>
              <a:t>Do you think that 12 months from now the overall level (value) of the U.S. Stock Market will be higher than it is today, lower than it is today,</a:t>
            </a:r>
            <a:r>
              <a:rPr lang="en-US" sz="1199" b="1" baseline="0"/>
              <a:t> or about the same?</a:t>
            </a:r>
            <a:endParaRPr lang="en-US" sz="1200" b="1"/>
          </a:p>
        </c:rich>
      </c:tx>
      <c:layout>
        <c:manualLayout>
          <c:xMode val="edge"/>
          <c:yMode val="edge"/>
          <c:x val="9.4937033270487567E-2"/>
          <c:y val="0"/>
        </c:manualLayout>
      </c:layout>
      <c:overlay val="0"/>
    </c:title>
    <c:autoTitleDeleted val="0"/>
    <c:plotArea>
      <c:layout/>
      <c:barChart>
        <c:barDir val="col"/>
        <c:grouping val="clustered"/>
        <c:varyColors val="0"/>
        <c:ser>
          <c:idx val="0"/>
          <c:order val="0"/>
          <c:tx>
            <c:strRef>
              <c:f>Sheet1!$B$1</c:f>
              <c:strCache>
                <c:ptCount val="1"/>
                <c:pt idx="0">
                  <c:v>Dec'11</c:v>
                </c:pt>
              </c:strCache>
            </c:strRef>
          </c:tx>
          <c:invertIfNegative val="0"/>
          <c:cat>
            <c:strRef>
              <c:f>Sheet1!$A$2:$A$4</c:f>
              <c:strCache>
                <c:ptCount val="3"/>
                <c:pt idx="0">
                  <c:v>Lower</c:v>
                </c:pt>
                <c:pt idx="1">
                  <c:v>Same</c:v>
                </c:pt>
                <c:pt idx="2">
                  <c:v>Higher</c:v>
                </c:pt>
              </c:strCache>
            </c:strRef>
          </c:cat>
          <c:val>
            <c:numRef>
              <c:f>Sheet1!$B$2:$B$4</c:f>
              <c:numCache>
                <c:formatCode>0%</c:formatCode>
                <c:ptCount val="3"/>
                <c:pt idx="0">
                  <c:v>0.15</c:v>
                </c:pt>
                <c:pt idx="1">
                  <c:v>0.41</c:v>
                </c:pt>
                <c:pt idx="2">
                  <c:v>0.44</c:v>
                </c:pt>
              </c:numCache>
            </c:numRef>
          </c:val>
        </c:ser>
        <c:ser>
          <c:idx val="1"/>
          <c:order val="1"/>
          <c:tx>
            <c:strRef>
              <c:f>Sheet1!$C$1</c:f>
              <c:strCache>
                <c:ptCount val="1"/>
                <c:pt idx="0">
                  <c:v>Jan'12</c:v>
                </c:pt>
              </c:strCache>
            </c:strRef>
          </c:tx>
          <c:spPr>
            <a:solidFill>
              <a:srgbClr val="C0504D">
                <a:lumMod val="60000"/>
                <a:lumOff val="40000"/>
              </a:srgbClr>
            </a:solidFill>
          </c:spPr>
          <c:invertIfNegative val="0"/>
          <c:cat>
            <c:strRef>
              <c:f>Sheet1!$A$2:$A$4</c:f>
              <c:strCache>
                <c:ptCount val="3"/>
                <c:pt idx="0">
                  <c:v>Lower</c:v>
                </c:pt>
                <c:pt idx="1">
                  <c:v>Same</c:v>
                </c:pt>
                <c:pt idx="2">
                  <c:v>Higher</c:v>
                </c:pt>
              </c:strCache>
            </c:strRef>
          </c:cat>
          <c:val>
            <c:numRef>
              <c:f>Sheet1!$C$2:$C$4</c:f>
              <c:numCache>
                <c:formatCode>0%</c:formatCode>
                <c:ptCount val="3"/>
                <c:pt idx="0">
                  <c:v>0.1</c:v>
                </c:pt>
                <c:pt idx="1">
                  <c:v>0.47</c:v>
                </c:pt>
                <c:pt idx="2">
                  <c:v>0.43</c:v>
                </c:pt>
              </c:numCache>
            </c:numRef>
          </c:val>
        </c:ser>
        <c:ser>
          <c:idx val="2"/>
          <c:order val="2"/>
          <c:tx>
            <c:strRef>
              <c:f>Sheet1!$D$1</c:f>
              <c:strCache>
                <c:ptCount val="1"/>
                <c:pt idx="0">
                  <c:v>Apr'12</c:v>
                </c:pt>
              </c:strCache>
            </c:strRef>
          </c:tx>
          <c:spPr>
            <a:solidFill>
              <a:srgbClr val="9BBB59"/>
            </a:solidFill>
          </c:spPr>
          <c:invertIfNegative val="0"/>
          <c:cat>
            <c:strRef>
              <c:f>Sheet1!$A$2:$A$4</c:f>
              <c:strCache>
                <c:ptCount val="3"/>
                <c:pt idx="0">
                  <c:v>Lower</c:v>
                </c:pt>
                <c:pt idx="1">
                  <c:v>Same</c:v>
                </c:pt>
                <c:pt idx="2">
                  <c:v>Higher</c:v>
                </c:pt>
              </c:strCache>
            </c:strRef>
          </c:cat>
          <c:val>
            <c:numRef>
              <c:f>Sheet1!$D$2:$D$4</c:f>
              <c:numCache>
                <c:formatCode>0%</c:formatCode>
                <c:ptCount val="3"/>
                <c:pt idx="0">
                  <c:v>0.14000000000000001</c:v>
                </c:pt>
                <c:pt idx="1">
                  <c:v>0.4</c:v>
                </c:pt>
                <c:pt idx="2">
                  <c:v>0.46</c:v>
                </c:pt>
              </c:numCache>
            </c:numRef>
          </c:val>
        </c:ser>
        <c:ser>
          <c:idx val="3"/>
          <c:order val="3"/>
          <c:tx>
            <c:strRef>
              <c:f>Sheet1!$E$1</c:f>
              <c:strCache>
                <c:ptCount val="1"/>
                <c:pt idx="0">
                  <c:v>Sept'12</c:v>
                </c:pt>
              </c:strCache>
            </c:strRef>
          </c:tx>
          <c:spPr>
            <a:solidFill>
              <a:srgbClr val="C0504D"/>
            </a:solidFill>
          </c:spPr>
          <c:invertIfNegative val="0"/>
          <c:cat>
            <c:strRef>
              <c:f>Sheet1!$A$2:$A$4</c:f>
              <c:strCache>
                <c:ptCount val="3"/>
                <c:pt idx="0">
                  <c:v>Lower</c:v>
                </c:pt>
                <c:pt idx="1">
                  <c:v>Same</c:v>
                </c:pt>
                <c:pt idx="2">
                  <c:v>Higher</c:v>
                </c:pt>
              </c:strCache>
            </c:strRef>
          </c:cat>
          <c:val>
            <c:numRef>
              <c:f>Sheet1!$E$2:$E$4</c:f>
              <c:numCache>
                <c:formatCode>0%</c:formatCode>
                <c:ptCount val="3"/>
                <c:pt idx="0">
                  <c:v>0.15</c:v>
                </c:pt>
                <c:pt idx="1">
                  <c:v>0.41</c:v>
                </c:pt>
                <c:pt idx="2">
                  <c:v>0.44</c:v>
                </c:pt>
              </c:numCache>
            </c:numRef>
          </c:val>
        </c:ser>
        <c:ser>
          <c:idx val="4"/>
          <c:order val="4"/>
          <c:tx>
            <c:strRef>
              <c:f>Sheet1!$F$1</c:f>
              <c:strCache>
                <c:ptCount val="1"/>
                <c:pt idx="0">
                  <c:v>Nov'12</c:v>
                </c:pt>
              </c:strCache>
            </c:strRef>
          </c:tx>
          <c:spPr>
            <a:solidFill>
              <a:srgbClr val="4BACC6"/>
            </a:solidFill>
          </c:spPr>
          <c:invertIfNegative val="0"/>
          <c:cat>
            <c:strRef>
              <c:f>Sheet1!$A$2:$A$4</c:f>
              <c:strCache>
                <c:ptCount val="3"/>
                <c:pt idx="0">
                  <c:v>Lower</c:v>
                </c:pt>
                <c:pt idx="1">
                  <c:v>Same</c:v>
                </c:pt>
                <c:pt idx="2">
                  <c:v>Higher</c:v>
                </c:pt>
              </c:strCache>
            </c:strRef>
          </c:cat>
          <c:val>
            <c:numRef>
              <c:f>Sheet1!$F$2:$F$4</c:f>
              <c:numCache>
                <c:formatCode>0%</c:formatCode>
                <c:ptCount val="3"/>
                <c:pt idx="0">
                  <c:v>0.27</c:v>
                </c:pt>
                <c:pt idx="1">
                  <c:v>0.34</c:v>
                </c:pt>
                <c:pt idx="2">
                  <c:v>0.39</c:v>
                </c:pt>
              </c:numCache>
            </c:numRef>
          </c:val>
        </c:ser>
        <c:dLbls>
          <c:showLegendKey val="0"/>
          <c:showVal val="1"/>
          <c:showCatName val="0"/>
          <c:showSerName val="0"/>
          <c:showPercent val="0"/>
          <c:showBubbleSize val="0"/>
        </c:dLbls>
        <c:gapWidth val="150"/>
        <c:axId val="132524288"/>
        <c:axId val="132558848"/>
      </c:barChart>
      <c:catAx>
        <c:axId val="132524288"/>
        <c:scaling>
          <c:orientation val="minMax"/>
        </c:scaling>
        <c:delete val="0"/>
        <c:axPos val="b"/>
        <c:numFmt formatCode="General" sourceLinked="1"/>
        <c:majorTickMark val="out"/>
        <c:minorTickMark val="none"/>
        <c:tickLblPos val="nextTo"/>
        <c:txPr>
          <a:bodyPr/>
          <a:lstStyle/>
          <a:p>
            <a:pPr>
              <a:defRPr b="0"/>
            </a:pPr>
            <a:endParaRPr lang="en-US"/>
          </a:p>
        </c:txPr>
        <c:crossAx val="132558848"/>
        <c:crosses val="autoZero"/>
        <c:auto val="1"/>
        <c:lblAlgn val="ctr"/>
        <c:lblOffset val="100"/>
        <c:noMultiLvlLbl val="0"/>
      </c:catAx>
      <c:valAx>
        <c:axId val="132558848"/>
        <c:scaling>
          <c:orientation val="minMax"/>
        </c:scaling>
        <c:delete val="0"/>
        <c:axPos val="l"/>
        <c:numFmt formatCode="0%" sourceLinked="1"/>
        <c:majorTickMark val="out"/>
        <c:minorTickMark val="none"/>
        <c:tickLblPos val="nextTo"/>
        <c:txPr>
          <a:bodyPr/>
          <a:lstStyle/>
          <a:p>
            <a:pPr>
              <a:defRPr b="0"/>
            </a:pPr>
            <a:endParaRPr lang="en-US"/>
          </a:p>
        </c:txPr>
        <c:crossAx val="132524288"/>
        <c:crosses val="autoZero"/>
        <c:crossBetween val="between"/>
        <c:majorUnit val="0.1"/>
      </c:valAx>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199" b="1"/>
              <a:t>Thinking</a:t>
            </a:r>
            <a:r>
              <a:rPr lang="en-US" sz="1199" b="1" baseline="0"/>
              <a:t> about the amount of your income that you are currently saving, compared to before this current recession began, are you currently saving more of your income, saving less of your income, or saving about the same as before the recession began?</a:t>
            </a:r>
            <a:endParaRPr lang="en-US" sz="1200" b="1"/>
          </a:p>
        </c:rich>
      </c:tx>
      <c:overlay val="0"/>
    </c:title>
    <c:autoTitleDeleted val="0"/>
    <c:plotArea>
      <c:layout/>
      <c:barChart>
        <c:barDir val="col"/>
        <c:grouping val="clustered"/>
        <c:varyColors val="0"/>
        <c:ser>
          <c:idx val="0"/>
          <c:order val="0"/>
          <c:tx>
            <c:strRef>
              <c:f>Sheet1!$B$1</c:f>
              <c:strCache>
                <c:ptCount val="1"/>
                <c:pt idx="0">
                  <c:v>Dec'11</c:v>
                </c:pt>
              </c:strCache>
            </c:strRef>
          </c:tx>
          <c:invertIfNegative val="0"/>
          <c:cat>
            <c:strRef>
              <c:f>Sheet1!$A$2:$A$4</c:f>
              <c:strCache>
                <c:ptCount val="3"/>
                <c:pt idx="0">
                  <c:v>Saving Less</c:v>
                </c:pt>
                <c:pt idx="1">
                  <c:v>Saving the Same</c:v>
                </c:pt>
                <c:pt idx="2">
                  <c:v>Saving More</c:v>
                </c:pt>
              </c:strCache>
            </c:strRef>
          </c:cat>
          <c:val>
            <c:numRef>
              <c:f>Sheet1!$B$2:$B$4</c:f>
              <c:numCache>
                <c:formatCode>0%</c:formatCode>
                <c:ptCount val="3"/>
                <c:pt idx="0">
                  <c:v>0.37</c:v>
                </c:pt>
                <c:pt idx="1">
                  <c:v>0.39</c:v>
                </c:pt>
                <c:pt idx="2">
                  <c:v>0.25</c:v>
                </c:pt>
              </c:numCache>
            </c:numRef>
          </c:val>
        </c:ser>
        <c:ser>
          <c:idx val="1"/>
          <c:order val="1"/>
          <c:tx>
            <c:strRef>
              <c:f>Sheet1!$C$1</c:f>
              <c:strCache>
                <c:ptCount val="1"/>
                <c:pt idx="0">
                  <c:v>Jan'12</c:v>
                </c:pt>
              </c:strCache>
            </c:strRef>
          </c:tx>
          <c:spPr>
            <a:solidFill>
              <a:srgbClr val="C0504D">
                <a:lumMod val="60000"/>
                <a:lumOff val="40000"/>
              </a:srgbClr>
            </a:solidFill>
          </c:spPr>
          <c:invertIfNegative val="0"/>
          <c:cat>
            <c:strRef>
              <c:f>Sheet1!$A$2:$A$4</c:f>
              <c:strCache>
                <c:ptCount val="3"/>
                <c:pt idx="0">
                  <c:v>Saving Less</c:v>
                </c:pt>
                <c:pt idx="1">
                  <c:v>Saving the Same</c:v>
                </c:pt>
                <c:pt idx="2">
                  <c:v>Saving More</c:v>
                </c:pt>
              </c:strCache>
            </c:strRef>
          </c:cat>
          <c:val>
            <c:numRef>
              <c:f>Sheet1!$C$2:$C$4</c:f>
              <c:numCache>
                <c:formatCode>0%</c:formatCode>
                <c:ptCount val="3"/>
                <c:pt idx="0">
                  <c:v>0.39</c:v>
                </c:pt>
                <c:pt idx="1">
                  <c:v>0.36</c:v>
                </c:pt>
                <c:pt idx="2">
                  <c:v>0.26</c:v>
                </c:pt>
              </c:numCache>
            </c:numRef>
          </c:val>
        </c:ser>
        <c:ser>
          <c:idx val="2"/>
          <c:order val="2"/>
          <c:tx>
            <c:strRef>
              <c:f>Sheet1!$D$1</c:f>
              <c:strCache>
                <c:ptCount val="1"/>
                <c:pt idx="0">
                  <c:v>Apr'12</c:v>
                </c:pt>
              </c:strCache>
            </c:strRef>
          </c:tx>
          <c:spPr>
            <a:solidFill>
              <a:srgbClr val="9BBB59"/>
            </a:solidFill>
          </c:spPr>
          <c:invertIfNegative val="0"/>
          <c:cat>
            <c:strRef>
              <c:f>Sheet1!$A$2:$A$4</c:f>
              <c:strCache>
                <c:ptCount val="3"/>
                <c:pt idx="0">
                  <c:v>Saving Less</c:v>
                </c:pt>
                <c:pt idx="1">
                  <c:v>Saving the Same</c:v>
                </c:pt>
                <c:pt idx="2">
                  <c:v>Saving More</c:v>
                </c:pt>
              </c:strCache>
            </c:strRef>
          </c:cat>
          <c:val>
            <c:numRef>
              <c:f>Sheet1!$D$2:$D$4</c:f>
              <c:numCache>
                <c:formatCode>0%</c:formatCode>
                <c:ptCount val="3"/>
                <c:pt idx="0">
                  <c:v>0.33</c:v>
                </c:pt>
                <c:pt idx="1">
                  <c:v>0.37</c:v>
                </c:pt>
                <c:pt idx="2">
                  <c:v>0.3</c:v>
                </c:pt>
              </c:numCache>
            </c:numRef>
          </c:val>
        </c:ser>
        <c:ser>
          <c:idx val="3"/>
          <c:order val="3"/>
          <c:tx>
            <c:strRef>
              <c:f>Sheet1!$E$1</c:f>
              <c:strCache>
                <c:ptCount val="1"/>
                <c:pt idx="0">
                  <c:v>Sept'12</c:v>
                </c:pt>
              </c:strCache>
            </c:strRef>
          </c:tx>
          <c:spPr>
            <a:solidFill>
              <a:srgbClr val="C0504D"/>
            </a:solidFill>
          </c:spPr>
          <c:invertIfNegative val="0"/>
          <c:cat>
            <c:strRef>
              <c:f>Sheet1!$A$2:$A$4</c:f>
              <c:strCache>
                <c:ptCount val="3"/>
                <c:pt idx="0">
                  <c:v>Saving Less</c:v>
                </c:pt>
                <c:pt idx="1">
                  <c:v>Saving the Same</c:v>
                </c:pt>
                <c:pt idx="2">
                  <c:v>Saving More</c:v>
                </c:pt>
              </c:strCache>
            </c:strRef>
          </c:cat>
          <c:val>
            <c:numRef>
              <c:f>Sheet1!$E$2:$E$4</c:f>
              <c:numCache>
                <c:formatCode>0%</c:formatCode>
                <c:ptCount val="3"/>
                <c:pt idx="0">
                  <c:v>0.36</c:v>
                </c:pt>
                <c:pt idx="1">
                  <c:v>0.38</c:v>
                </c:pt>
                <c:pt idx="2">
                  <c:v>0.26</c:v>
                </c:pt>
              </c:numCache>
            </c:numRef>
          </c:val>
        </c:ser>
        <c:ser>
          <c:idx val="4"/>
          <c:order val="4"/>
          <c:tx>
            <c:strRef>
              <c:f>Sheet1!$F$1</c:f>
              <c:strCache>
                <c:ptCount val="1"/>
                <c:pt idx="0">
                  <c:v>Nov'12</c:v>
                </c:pt>
              </c:strCache>
            </c:strRef>
          </c:tx>
          <c:spPr>
            <a:solidFill>
              <a:srgbClr val="4BACC6"/>
            </a:solidFill>
          </c:spPr>
          <c:invertIfNegative val="0"/>
          <c:cat>
            <c:strRef>
              <c:f>Sheet1!$A$2:$A$4</c:f>
              <c:strCache>
                <c:ptCount val="3"/>
                <c:pt idx="0">
                  <c:v>Saving Less</c:v>
                </c:pt>
                <c:pt idx="1">
                  <c:v>Saving the Same</c:v>
                </c:pt>
                <c:pt idx="2">
                  <c:v>Saving More</c:v>
                </c:pt>
              </c:strCache>
            </c:strRef>
          </c:cat>
          <c:val>
            <c:numRef>
              <c:f>Sheet1!$F$2:$F$4</c:f>
              <c:numCache>
                <c:formatCode>0%</c:formatCode>
                <c:ptCount val="3"/>
                <c:pt idx="0">
                  <c:v>0.31</c:v>
                </c:pt>
                <c:pt idx="1">
                  <c:v>0.42</c:v>
                </c:pt>
                <c:pt idx="2">
                  <c:v>0.26</c:v>
                </c:pt>
              </c:numCache>
            </c:numRef>
          </c:val>
        </c:ser>
        <c:dLbls>
          <c:showLegendKey val="0"/>
          <c:showVal val="1"/>
          <c:showCatName val="0"/>
          <c:showSerName val="0"/>
          <c:showPercent val="0"/>
          <c:showBubbleSize val="0"/>
        </c:dLbls>
        <c:gapWidth val="150"/>
        <c:axId val="134436736"/>
        <c:axId val="134438272"/>
      </c:barChart>
      <c:catAx>
        <c:axId val="134436736"/>
        <c:scaling>
          <c:orientation val="minMax"/>
        </c:scaling>
        <c:delete val="0"/>
        <c:axPos val="b"/>
        <c:numFmt formatCode="General" sourceLinked="1"/>
        <c:majorTickMark val="out"/>
        <c:minorTickMark val="none"/>
        <c:tickLblPos val="nextTo"/>
        <c:txPr>
          <a:bodyPr/>
          <a:lstStyle/>
          <a:p>
            <a:pPr>
              <a:defRPr b="0"/>
            </a:pPr>
            <a:endParaRPr lang="en-US"/>
          </a:p>
        </c:txPr>
        <c:crossAx val="134438272"/>
        <c:crosses val="autoZero"/>
        <c:auto val="1"/>
        <c:lblAlgn val="ctr"/>
        <c:lblOffset val="100"/>
        <c:noMultiLvlLbl val="0"/>
      </c:catAx>
      <c:valAx>
        <c:axId val="134438272"/>
        <c:scaling>
          <c:orientation val="minMax"/>
        </c:scaling>
        <c:delete val="0"/>
        <c:axPos val="l"/>
        <c:numFmt formatCode="0%" sourceLinked="1"/>
        <c:majorTickMark val="out"/>
        <c:minorTickMark val="none"/>
        <c:tickLblPos val="nextTo"/>
        <c:txPr>
          <a:bodyPr/>
          <a:lstStyle/>
          <a:p>
            <a:pPr>
              <a:defRPr b="0"/>
            </a:pPr>
            <a:endParaRPr lang="en-US"/>
          </a:p>
        </c:txPr>
        <c:crossAx val="134436736"/>
        <c:crosses val="autoZero"/>
        <c:crossBetween val="between"/>
      </c:valAx>
    </c:plotArea>
    <c:legend>
      <c:legendPos val="t"/>
      <c:overlay val="0"/>
      <c:txPr>
        <a:bodyPr/>
        <a:lstStyle/>
        <a:p>
          <a:pPr>
            <a:defRPr sz="1199"/>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a:pPr>
            <a:r>
              <a:rPr lang="en-US" sz="1100" b="1"/>
              <a:t> </a:t>
            </a:r>
            <a:r>
              <a:rPr lang="en-US" sz="1200" b="1"/>
              <a:t>Looking ahead, do you think</a:t>
            </a:r>
            <a:r>
              <a:rPr lang="en-US" sz="1200" b="1" baseline="0"/>
              <a:t> that when the economy strengthens and the current recession has ended that you will save more of your income than you are currently saving, save less of your income than you are currently saving, or save about the same?</a:t>
            </a:r>
            <a:endParaRPr lang="en-US" sz="1200" b="1"/>
          </a:p>
        </c:rich>
      </c:tx>
      <c:layout>
        <c:manualLayout>
          <c:xMode val="edge"/>
          <c:yMode val="edge"/>
          <c:x val="0.10710553970127625"/>
          <c:y val="0"/>
        </c:manualLayout>
      </c:layout>
      <c:overlay val="0"/>
    </c:title>
    <c:autoTitleDeleted val="0"/>
    <c:plotArea>
      <c:layout>
        <c:manualLayout>
          <c:layoutTarget val="inner"/>
          <c:xMode val="edge"/>
          <c:yMode val="edge"/>
          <c:x val="9.3516435445570575E-2"/>
          <c:y val="0.41576265191091832"/>
          <c:w val="0.87920181852269408"/>
          <c:h val="0.39711088556414997"/>
        </c:manualLayout>
      </c:layout>
      <c:barChart>
        <c:barDir val="col"/>
        <c:grouping val="clustered"/>
        <c:varyColors val="0"/>
        <c:ser>
          <c:idx val="0"/>
          <c:order val="0"/>
          <c:tx>
            <c:strRef>
              <c:f>Sheet1!$B$1</c:f>
              <c:strCache>
                <c:ptCount val="1"/>
                <c:pt idx="0">
                  <c:v>Dec'11</c:v>
                </c:pt>
              </c:strCache>
            </c:strRef>
          </c:tx>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Sheet1!$B$2:$B$4</c:f>
              <c:numCache>
                <c:formatCode>0%</c:formatCode>
                <c:ptCount val="3"/>
                <c:pt idx="0">
                  <c:v>0.08</c:v>
                </c:pt>
                <c:pt idx="1">
                  <c:v>0.38</c:v>
                </c:pt>
                <c:pt idx="2">
                  <c:v>0.55000000000000004</c:v>
                </c:pt>
              </c:numCache>
            </c:numRef>
          </c:val>
        </c:ser>
        <c:ser>
          <c:idx val="1"/>
          <c:order val="1"/>
          <c:tx>
            <c:strRef>
              <c:f>Sheet1!$C$1</c:f>
              <c:strCache>
                <c:ptCount val="1"/>
                <c:pt idx="0">
                  <c:v>Jan'12</c:v>
                </c:pt>
              </c:strCache>
            </c:strRef>
          </c:tx>
          <c:spPr>
            <a:solidFill>
              <a:srgbClr val="C0504D">
                <a:lumMod val="60000"/>
                <a:lumOff val="40000"/>
              </a:srgbClr>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Sheet1!$C$2:$C$4</c:f>
              <c:numCache>
                <c:formatCode>0%</c:formatCode>
                <c:ptCount val="3"/>
                <c:pt idx="0">
                  <c:v>0.06</c:v>
                </c:pt>
                <c:pt idx="1">
                  <c:v>0.48</c:v>
                </c:pt>
                <c:pt idx="2">
                  <c:v>0.46</c:v>
                </c:pt>
              </c:numCache>
            </c:numRef>
          </c:val>
        </c:ser>
        <c:ser>
          <c:idx val="2"/>
          <c:order val="2"/>
          <c:tx>
            <c:strRef>
              <c:f>Sheet1!$D$1</c:f>
              <c:strCache>
                <c:ptCount val="1"/>
                <c:pt idx="0">
                  <c:v>Apr'12</c:v>
                </c:pt>
              </c:strCache>
            </c:strRef>
          </c:tx>
          <c:spPr>
            <a:solidFill>
              <a:srgbClr val="9BBB59"/>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Sheet1!$D$2:$D$4</c:f>
              <c:numCache>
                <c:formatCode>0%</c:formatCode>
                <c:ptCount val="3"/>
                <c:pt idx="0">
                  <c:v>0.08</c:v>
                </c:pt>
                <c:pt idx="1">
                  <c:v>0.44</c:v>
                </c:pt>
                <c:pt idx="2">
                  <c:v>0.48</c:v>
                </c:pt>
              </c:numCache>
            </c:numRef>
          </c:val>
        </c:ser>
        <c:ser>
          <c:idx val="3"/>
          <c:order val="3"/>
          <c:tx>
            <c:strRef>
              <c:f>Sheet1!$E$1</c:f>
              <c:strCache>
                <c:ptCount val="1"/>
                <c:pt idx="0">
                  <c:v>Sept'12</c:v>
                </c:pt>
              </c:strCache>
            </c:strRef>
          </c:tx>
          <c:spPr>
            <a:solidFill>
              <a:srgbClr val="C0504D"/>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Sheet1!$E$2:$E$4</c:f>
              <c:numCache>
                <c:formatCode>0%</c:formatCode>
                <c:ptCount val="3"/>
                <c:pt idx="0">
                  <c:v>7.0000000000000007E-2</c:v>
                </c:pt>
                <c:pt idx="1">
                  <c:v>0.46</c:v>
                </c:pt>
                <c:pt idx="2">
                  <c:v>0.47</c:v>
                </c:pt>
              </c:numCache>
            </c:numRef>
          </c:val>
        </c:ser>
        <c:ser>
          <c:idx val="4"/>
          <c:order val="4"/>
          <c:tx>
            <c:strRef>
              <c:f>Sheet1!$F$1</c:f>
              <c:strCache>
                <c:ptCount val="1"/>
                <c:pt idx="0">
                  <c:v>Nov'12</c:v>
                </c:pt>
              </c:strCache>
            </c:strRef>
          </c:tx>
          <c:spPr>
            <a:solidFill>
              <a:srgbClr val="4BACC6"/>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Sheet1!$F$2:$F$4</c:f>
              <c:numCache>
                <c:formatCode>0%</c:formatCode>
                <c:ptCount val="3"/>
                <c:pt idx="0">
                  <c:v>0.12</c:v>
                </c:pt>
                <c:pt idx="1">
                  <c:v>0.41</c:v>
                </c:pt>
                <c:pt idx="2">
                  <c:v>0.47</c:v>
                </c:pt>
              </c:numCache>
            </c:numRef>
          </c:val>
        </c:ser>
        <c:dLbls>
          <c:showLegendKey val="0"/>
          <c:showVal val="1"/>
          <c:showCatName val="0"/>
          <c:showSerName val="0"/>
          <c:showPercent val="0"/>
          <c:showBubbleSize val="0"/>
        </c:dLbls>
        <c:gapWidth val="150"/>
        <c:axId val="135165056"/>
        <c:axId val="135166592"/>
      </c:barChart>
      <c:catAx>
        <c:axId val="135165056"/>
        <c:scaling>
          <c:orientation val="minMax"/>
        </c:scaling>
        <c:delete val="0"/>
        <c:axPos val="b"/>
        <c:numFmt formatCode="General" sourceLinked="1"/>
        <c:majorTickMark val="out"/>
        <c:minorTickMark val="none"/>
        <c:tickLblPos val="nextTo"/>
        <c:txPr>
          <a:bodyPr/>
          <a:lstStyle/>
          <a:p>
            <a:pPr>
              <a:defRPr b="1"/>
            </a:pPr>
            <a:endParaRPr lang="en-US"/>
          </a:p>
        </c:txPr>
        <c:crossAx val="135166592"/>
        <c:crosses val="autoZero"/>
        <c:auto val="1"/>
        <c:lblAlgn val="ctr"/>
        <c:lblOffset val="100"/>
        <c:noMultiLvlLbl val="0"/>
      </c:catAx>
      <c:valAx>
        <c:axId val="135166592"/>
        <c:scaling>
          <c:orientation val="minMax"/>
        </c:scaling>
        <c:delete val="0"/>
        <c:axPos val="l"/>
        <c:numFmt formatCode="0%" sourceLinked="1"/>
        <c:majorTickMark val="out"/>
        <c:minorTickMark val="none"/>
        <c:tickLblPos val="nextTo"/>
        <c:txPr>
          <a:bodyPr/>
          <a:lstStyle/>
          <a:p>
            <a:pPr>
              <a:defRPr b="1"/>
            </a:pPr>
            <a:endParaRPr lang="en-US"/>
          </a:p>
        </c:txPr>
        <c:crossAx val="135165056"/>
        <c:crosses val="autoZero"/>
        <c:crossBetween val="between"/>
      </c:valAx>
    </c:plotArea>
    <c:legend>
      <c:legendPos val="t"/>
      <c:layout>
        <c:manualLayout>
          <c:xMode val="edge"/>
          <c:yMode val="edge"/>
          <c:x val="0.16684947600791339"/>
          <c:y val="0.30405445673361348"/>
          <c:w val="0.63668566787876046"/>
          <c:h val="7.5698729550921287E-2"/>
        </c:manualLayout>
      </c:layout>
      <c:overlay val="0"/>
      <c:txPr>
        <a:bodyPr/>
        <a:lstStyle/>
        <a:p>
          <a:pPr>
            <a:defRPr sz="1200"/>
          </a:pPr>
          <a:endParaRPr lang="en-US"/>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Do</a:t>
            </a:r>
            <a:r>
              <a:rPr lang="en-US" sz="1200" baseline="0"/>
              <a:t> you think that you will spend more money on Christmas and Holiday gifts this year compared to last year, less money than you spend last year, or about the same?</a:t>
            </a:r>
            <a:endParaRPr lang="en-US" sz="1200"/>
          </a:p>
        </c:rich>
      </c:tx>
      <c:overlay val="0"/>
    </c:title>
    <c:autoTitleDeleted val="0"/>
    <c:plotArea>
      <c:layout/>
      <c:barChart>
        <c:barDir val="col"/>
        <c:grouping val="clustered"/>
        <c:varyColors val="0"/>
        <c:ser>
          <c:idx val="0"/>
          <c:order val="0"/>
          <c:tx>
            <c:strRef>
              <c:f>Sheet1!$B$1</c:f>
              <c:strCache>
                <c:ptCount val="1"/>
                <c:pt idx="0">
                  <c:v>2009</c:v>
                </c:pt>
              </c:strCache>
            </c:strRef>
          </c:tx>
          <c:spPr>
            <a:solidFill>
              <a:srgbClr val="00B050"/>
            </a:solidFill>
            <a:ln>
              <a:solidFill>
                <a:schemeClr val="accent1"/>
              </a:solidFill>
            </a:ln>
          </c:spPr>
          <c:invertIfNegative val="0"/>
          <c:cat>
            <c:strRef>
              <c:f>Sheet1!$A$2:$A$4</c:f>
              <c:strCache>
                <c:ptCount val="3"/>
                <c:pt idx="0">
                  <c:v>Less</c:v>
                </c:pt>
                <c:pt idx="1">
                  <c:v>About the same</c:v>
                </c:pt>
                <c:pt idx="2">
                  <c:v>More </c:v>
                </c:pt>
              </c:strCache>
            </c:strRef>
          </c:cat>
          <c:val>
            <c:numRef>
              <c:f>Sheet1!$B$2:$B$4</c:f>
              <c:numCache>
                <c:formatCode>0%</c:formatCode>
                <c:ptCount val="3"/>
                <c:pt idx="0">
                  <c:v>0.46</c:v>
                </c:pt>
                <c:pt idx="1">
                  <c:v>0.44</c:v>
                </c:pt>
                <c:pt idx="2">
                  <c:v>0.08</c:v>
                </c:pt>
              </c:numCache>
            </c:numRef>
          </c:val>
        </c:ser>
        <c:ser>
          <c:idx val="1"/>
          <c:order val="1"/>
          <c:tx>
            <c:strRef>
              <c:f>Sheet1!$C$1</c:f>
              <c:strCache>
                <c:ptCount val="1"/>
                <c:pt idx="0">
                  <c:v>2010</c:v>
                </c:pt>
              </c:strCache>
            </c:strRef>
          </c:tx>
          <c:spPr>
            <a:solidFill>
              <a:schemeClr val="bg1">
                <a:lumMod val="65000"/>
              </a:schemeClr>
            </a:solidFill>
          </c:spPr>
          <c:invertIfNegative val="0"/>
          <c:cat>
            <c:strRef>
              <c:f>Sheet1!$A$2:$A$4</c:f>
              <c:strCache>
                <c:ptCount val="3"/>
                <c:pt idx="0">
                  <c:v>Less</c:v>
                </c:pt>
                <c:pt idx="1">
                  <c:v>About the same</c:v>
                </c:pt>
                <c:pt idx="2">
                  <c:v>More </c:v>
                </c:pt>
              </c:strCache>
            </c:strRef>
          </c:cat>
          <c:val>
            <c:numRef>
              <c:f>Sheet1!$C$2:$C$4</c:f>
              <c:numCache>
                <c:formatCode>0%</c:formatCode>
                <c:ptCount val="3"/>
                <c:pt idx="0">
                  <c:v>0.38</c:v>
                </c:pt>
                <c:pt idx="1">
                  <c:v>0.45</c:v>
                </c:pt>
                <c:pt idx="2">
                  <c:v>0.14000000000000001</c:v>
                </c:pt>
              </c:numCache>
            </c:numRef>
          </c:val>
        </c:ser>
        <c:ser>
          <c:idx val="2"/>
          <c:order val="2"/>
          <c:tx>
            <c:strRef>
              <c:f>Sheet1!$D$1</c:f>
              <c:strCache>
                <c:ptCount val="1"/>
                <c:pt idx="0">
                  <c:v>2011</c:v>
                </c:pt>
              </c:strCache>
            </c:strRef>
          </c:tx>
          <c:spPr>
            <a:solidFill>
              <a:schemeClr val="accent1"/>
            </a:solidFill>
          </c:spPr>
          <c:invertIfNegative val="0"/>
          <c:cat>
            <c:strRef>
              <c:f>Sheet1!$A$2:$A$4</c:f>
              <c:strCache>
                <c:ptCount val="3"/>
                <c:pt idx="0">
                  <c:v>Less</c:v>
                </c:pt>
                <c:pt idx="1">
                  <c:v>About the same</c:v>
                </c:pt>
                <c:pt idx="2">
                  <c:v>More </c:v>
                </c:pt>
              </c:strCache>
            </c:strRef>
          </c:cat>
          <c:val>
            <c:numRef>
              <c:f>Sheet1!$D$2:$D$4</c:f>
              <c:numCache>
                <c:formatCode>0%</c:formatCode>
                <c:ptCount val="3"/>
                <c:pt idx="0">
                  <c:v>0.34</c:v>
                </c:pt>
                <c:pt idx="1">
                  <c:v>0.46</c:v>
                </c:pt>
                <c:pt idx="2">
                  <c:v>0.18</c:v>
                </c:pt>
              </c:numCache>
            </c:numRef>
          </c:val>
        </c:ser>
        <c:ser>
          <c:idx val="3"/>
          <c:order val="3"/>
          <c:tx>
            <c:strRef>
              <c:f>Sheet1!$E$1</c:f>
              <c:strCache>
                <c:ptCount val="1"/>
                <c:pt idx="0">
                  <c:v>2012</c:v>
                </c:pt>
              </c:strCache>
            </c:strRef>
          </c:tx>
          <c:spPr>
            <a:solidFill>
              <a:srgbClr val="C00000"/>
            </a:solidFill>
          </c:spPr>
          <c:invertIfNegative val="0"/>
          <c:cat>
            <c:strRef>
              <c:f>Sheet1!$A$2:$A$4</c:f>
              <c:strCache>
                <c:ptCount val="3"/>
                <c:pt idx="0">
                  <c:v>Less</c:v>
                </c:pt>
                <c:pt idx="1">
                  <c:v>About the same</c:v>
                </c:pt>
                <c:pt idx="2">
                  <c:v>More </c:v>
                </c:pt>
              </c:strCache>
            </c:strRef>
          </c:cat>
          <c:val>
            <c:numRef>
              <c:f>Sheet1!$E$2:$E$4</c:f>
              <c:numCache>
                <c:formatCode>0%</c:formatCode>
                <c:ptCount val="3"/>
                <c:pt idx="0">
                  <c:v>0.33</c:v>
                </c:pt>
                <c:pt idx="1">
                  <c:v>0.55000000000000004</c:v>
                </c:pt>
                <c:pt idx="2">
                  <c:v>0.11</c:v>
                </c:pt>
              </c:numCache>
            </c:numRef>
          </c:val>
        </c:ser>
        <c:dLbls>
          <c:showLegendKey val="0"/>
          <c:showVal val="1"/>
          <c:showCatName val="0"/>
          <c:showSerName val="0"/>
          <c:showPercent val="0"/>
          <c:showBubbleSize val="0"/>
        </c:dLbls>
        <c:gapWidth val="150"/>
        <c:axId val="135609728"/>
        <c:axId val="135644288"/>
      </c:barChart>
      <c:catAx>
        <c:axId val="135609728"/>
        <c:scaling>
          <c:orientation val="minMax"/>
        </c:scaling>
        <c:delete val="0"/>
        <c:axPos val="b"/>
        <c:majorTickMark val="out"/>
        <c:minorTickMark val="none"/>
        <c:tickLblPos val="nextTo"/>
        <c:crossAx val="135644288"/>
        <c:crosses val="autoZero"/>
        <c:auto val="1"/>
        <c:lblAlgn val="ctr"/>
        <c:lblOffset val="100"/>
        <c:noMultiLvlLbl val="0"/>
      </c:catAx>
      <c:valAx>
        <c:axId val="135644288"/>
        <c:scaling>
          <c:orientation val="minMax"/>
        </c:scaling>
        <c:delete val="0"/>
        <c:axPos val="l"/>
        <c:numFmt formatCode="0%" sourceLinked="1"/>
        <c:majorTickMark val="out"/>
        <c:minorTickMark val="none"/>
        <c:tickLblPos val="nextTo"/>
        <c:crossAx val="135609728"/>
        <c:crosses val="autoZero"/>
        <c:crossBetween val="between"/>
      </c:valAx>
    </c:plotArea>
    <c:legend>
      <c:legendPos val="t"/>
      <c:overlay val="0"/>
      <c:txPr>
        <a:bodyPr/>
        <a:lstStyle/>
        <a:p>
          <a:pPr>
            <a:defRPr sz="1400"/>
          </a:pPr>
          <a:endParaRPr lang="en-US"/>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pPr>
            <a:r>
              <a:rPr lang="en-US" sz="1400" b="0"/>
              <a:t>How</a:t>
            </a:r>
            <a:r>
              <a:rPr lang="en-US" sz="1400" b="0" baseline="0"/>
              <a:t> much do you expect to spend on Christmas and Holiday gifts this year?</a:t>
            </a:r>
            <a:endParaRPr lang="en-US" sz="1400" b="0"/>
          </a:p>
        </c:rich>
      </c:tx>
      <c:overlay val="0"/>
    </c:title>
    <c:autoTitleDeleted val="0"/>
    <c:plotArea>
      <c:layout/>
      <c:barChart>
        <c:barDir val="bar"/>
        <c:grouping val="clustered"/>
        <c:varyColors val="0"/>
        <c:ser>
          <c:idx val="0"/>
          <c:order val="0"/>
          <c:tx>
            <c:strRef>
              <c:f>Sheet1!$B$1</c:f>
              <c:strCache>
                <c:ptCount val="1"/>
                <c:pt idx="0">
                  <c:v>2010</c:v>
                </c:pt>
              </c:strCache>
            </c:strRef>
          </c:tx>
          <c:spPr>
            <a:solidFill>
              <a:srgbClr val="00B050"/>
            </a:solidFill>
            <a:ln w="3175">
              <a:solidFill>
                <a:srgbClr val="4F81BD"/>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Sheet1!$A$2:$A$8</c:f>
              <c:strCache>
                <c:ptCount val="7"/>
                <c:pt idx="0">
                  <c:v>More than $1,000</c:v>
                </c:pt>
                <c:pt idx="1">
                  <c:v>$901 - $1,000</c:v>
                </c:pt>
                <c:pt idx="2">
                  <c:v>$701 - $900</c:v>
                </c:pt>
                <c:pt idx="3">
                  <c:v>$501 - $700</c:v>
                </c:pt>
                <c:pt idx="4">
                  <c:v>$301 - $500</c:v>
                </c:pt>
                <c:pt idx="5">
                  <c:v>$100 - $300</c:v>
                </c:pt>
                <c:pt idx="6">
                  <c:v>Less than $100</c:v>
                </c:pt>
              </c:strCache>
            </c:strRef>
          </c:cat>
          <c:val>
            <c:numRef>
              <c:f>Sheet1!$B$2:$B$8</c:f>
              <c:numCache>
                <c:formatCode>0%</c:formatCode>
                <c:ptCount val="7"/>
                <c:pt idx="0">
                  <c:v>0.14000000000000001</c:v>
                </c:pt>
                <c:pt idx="1">
                  <c:v>0.05</c:v>
                </c:pt>
                <c:pt idx="2">
                  <c:v>0.1</c:v>
                </c:pt>
                <c:pt idx="3">
                  <c:v>0.11</c:v>
                </c:pt>
                <c:pt idx="4">
                  <c:v>0.22</c:v>
                </c:pt>
                <c:pt idx="5">
                  <c:v>0.19</c:v>
                </c:pt>
                <c:pt idx="6">
                  <c:v>0.1</c:v>
                </c:pt>
              </c:numCache>
            </c:numRef>
          </c:val>
        </c:ser>
        <c:ser>
          <c:idx val="1"/>
          <c:order val="1"/>
          <c:tx>
            <c:strRef>
              <c:f>Sheet1!$C$1</c:f>
              <c:strCache>
                <c:ptCount val="1"/>
                <c:pt idx="0">
                  <c:v>2011</c:v>
                </c:pt>
              </c:strCache>
            </c:strRef>
          </c:tx>
          <c:spPr>
            <a:solidFill>
              <a:sysClr val="window" lastClr="FFFFFF">
                <a:lumMod val="95000"/>
              </a:sysClr>
            </a:solidFill>
            <a:ln>
              <a:solidFill>
                <a:sysClr val="windowText" lastClr="000000"/>
              </a:solidFill>
            </a:ln>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Sheet1!$A$2:$A$8</c:f>
              <c:strCache>
                <c:ptCount val="7"/>
                <c:pt idx="0">
                  <c:v>More than $1,000</c:v>
                </c:pt>
                <c:pt idx="1">
                  <c:v>$901 - $1,000</c:v>
                </c:pt>
                <c:pt idx="2">
                  <c:v>$701 - $900</c:v>
                </c:pt>
                <c:pt idx="3">
                  <c:v>$501 - $700</c:v>
                </c:pt>
                <c:pt idx="4">
                  <c:v>$301 - $500</c:v>
                </c:pt>
                <c:pt idx="5">
                  <c:v>$100 - $300</c:v>
                </c:pt>
                <c:pt idx="6">
                  <c:v>Less than $100</c:v>
                </c:pt>
              </c:strCache>
            </c:strRef>
          </c:cat>
          <c:val>
            <c:numRef>
              <c:f>Sheet1!$C$2:$C$8</c:f>
              <c:numCache>
                <c:formatCode>0%</c:formatCode>
                <c:ptCount val="7"/>
                <c:pt idx="0">
                  <c:v>0.18</c:v>
                </c:pt>
                <c:pt idx="1">
                  <c:v>0.04</c:v>
                </c:pt>
                <c:pt idx="2">
                  <c:v>7.0000000000000007E-2</c:v>
                </c:pt>
                <c:pt idx="3">
                  <c:v>0.16</c:v>
                </c:pt>
                <c:pt idx="4">
                  <c:v>0.2</c:v>
                </c:pt>
                <c:pt idx="5">
                  <c:v>0.18</c:v>
                </c:pt>
                <c:pt idx="6">
                  <c:v>0.1</c:v>
                </c:pt>
              </c:numCache>
            </c:numRef>
          </c:val>
        </c:ser>
        <c:ser>
          <c:idx val="2"/>
          <c:order val="2"/>
          <c:tx>
            <c:strRef>
              <c:f>Sheet1!$D$1</c:f>
              <c:strCache>
                <c:ptCount val="1"/>
                <c:pt idx="0">
                  <c:v>2012</c:v>
                </c:pt>
              </c:strCache>
            </c:strRef>
          </c:tx>
          <c:spPr>
            <a:solidFill>
              <a:srgbClr val="C00000"/>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Sheet1!$A$2:$A$8</c:f>
              <c:strCache>
                <c:ptCount val="7"/>
                <c:pt idx="0">
                  <c:v>More than $1,000</c:v>
                </c:pt>
                <c:pt idx="1">
                  <c:v>$901 - $1,000</c:v>
                </c:pt>
                <c:pt idx="2">
                  <c:v>$701 - $900</c:v>
                </c:pt>
                <c:pt idx="3">
                  <c:v>$501 - $700</c:v>
                </c:pt>
                <c:pt idx="4">
                  <c:v>$301 - $500</c:v>
                </c:pt>
                <c:pt idx="5">
                  <c:v>$100 - $300</c:v>
                </c:pt>
                <c:pt idx="6">
                  <c:v>Less than $100</c:v>
                </c:pt>
              </c:strCache>
            </c:strRef>
          </c:cat>
          <c:val>
            <c:numRef>
              <c:f>Sheet1!$D$2:$D$8</c:f>
              <c:numCache>
                <c:formatCode>0%</c:formatCode>
                <c:ptCount val="7"/>
                <c:pt idx="0">
                  <c:v>0.24</c:v>
                </c:pt>
                <c:pt idx="1">
                  <c:v>7.0000000000000007E-2</c:v>
                </c:pt>
                <c:pt idx="2">
                  <c:v>7.0000000000000007E-2</c:v>
                </c:pt>
                <c:pt idx="3">
                  <c:v>0.11</c:v>
                </c:pt>
                <c:pt idx="4">
                  <c:v>0.21</c:v>
                </c:pt>
                <c:pt idx="5">
                  <c:v>0.14000000000000001</c:v>
                </c:pt>
                <c:pt idx="6">
                  <c:v>7.0000000000000007E-2</c:v>
                </c:pt>
              </c:numCache>
            </c:numRef>
          </c:val>
        </c:ser>
        <c:dLbls>
          <c:showLegendKey val="0"/>
          <c:showVal val="1"/>
          <c:showCatName val="0"/>
          <c:showSerName val="0"/>
          <c:showPercent val="0"/>
          <c:showBubbleSize val="0"/>
        </c:dLbls>
        <c:gapWidth val="150"/>
        <c:axId val="135856128"/>
        <c:axId val="135857664"/>
      </c:barChart>
      <c:catAx>
        <c:axId val="135856128"/>
        <c:scaling>
          <c:orientation val="minMax"/>
        </c:scaling>
        <c:delete val="0"/>
        <c:axPos val="l"/>
        <c:numFmt formatCode="General" sourceLinked="1"/>
        <c:majorTickMark val="out"/>
        <c:minorTickMark val="none"/>
        <c:tickLblPos val="nextTo"/>
        <c:txPr>
          <a:bodyPr/>
          <a:lstStyle/>
          <a:p>
            <a:pPr>
              <a:defRPr sz="1200"/>
            </a:pPr>
            <a:endParaRPr lang="en-US"/>
          </a:p>
        </c:txPr>
        <c:crossAx val="135857664"/>
        <c:crosses val="autoZero"/>
        <c:auto val="1"/>
        <c:lblAlgn val="ctr"/>
        <c:lblOffset val="100"/>
        <c:noMultiLvlLbl val="0"/>
      </c:catAx>
      <c:valAx>
        <c:axId val="135857664"/>
        <c:scaling>
          <c:orientation val="minMax"/>
          <c:max val="0.30000000000000032"/>
        </c:scaling>
        <c:delete val="0"/>
        <c:axPos val="b"/>
        <c:title>
          <c:tx>
            <c:rich>
              <a:bodyPr/>
              <a:lstStyle/>
              <a:p>
                <a:pPr>
                  <a:defRPr sz="1200" b="0" i="0" u="none" strike="noStrike" baseline="0">
                    <a:solidFill>
                      <a:srgbClr val="000000"/>
                    </a:solidFill>
                    <a:latin typeface="Calibri"/>
                    <a:ea typeface="Calibri"/>
                    <a:cs typeface="Calibri"/>
                  </a:defRPr>
                </a:pPr>
                <a:r>
                  <a:rPr lang="en-US"/>
                  <a:t>Percent of Consumers</a:t>
                </a:r>
              </a:p>
            </c:rich>
          </c:tx>
          <c:overlay val="0"/>
        </c:title>
        <c:numFmt formatCode="0%" sourceLinked="1"/>
        <c:majorTickMark val="out"/>
        <c:minorTickMark val="none"/>
        <c:tickLblPos val="nextTo"/>
        <c:txPr>
          <a:bodyPr/>
          <a:lstStyle/>
          <a:p>
            <a:pPr>
              <a:defRPr sz="1200"/>
            </a:pPr>
            <a:endParaRPr lang="en-US"/>
          </a:p>
        </c:txPr>
        <c:crossAx val="135856128"/>
        <c:crosses val="autoZero"/>
        <c:crossBetween val="between"/>
      </c:valAx>
      <c:spPr>
        <a:noFill/>
        <a:ln w="25398">
          <a:noFill/>
        </a:ln>
      </c:spPr>
    </c:plotArea>
    <c:legend>
      <c:legendPos val="r"/>
      <c:layout>
        <c:manualLayout>
          <c:xMode val="edge"/>
          <c:yMode val="edge"/>
          <c:x val="0.81883216011426108"/>
          <c:y val="0.36856232123104338"/>
          <c:w val="0.11518773694954797"/>
          <c:h val="0.29530815523839937"/>
        </c:manualLayout>
      </c:layout>
      <c:overlay val="0"/>
      <c:txPr>
        <a:bodyPr/>
        <a:lstStyle/>
        <a:p>
          <a:pPr>
            <a:defRPr sz="1400"/>
          </a:pPr>
          <a:endParaRPr lang="en-US"/>
        </a:p>
      </c:txPr>
    </c:legend>
    <c:plotVisOnly val="1"/>
    <c:dispBlanksAs val="gap"/>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Dec'11</c:v>
                </c:pt>
              </c:strCache>
            </c:strRef>
          </c:tx>
          <c:spPr>
            <a:solidFill>
              <a:srgbClr val="4F81BD"/>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0.3</c:v>
                </c:pt>
                <c:pt idx="1">
                  <c:v>0.44</c:v>
                </c:pt>
                <c:pt idx="2">
                  <c:v>0.26</c:v>
                </c:pt>
              </c:numCache>
            </c:numRef>
          </c:val>
        </c:ser>
        <c:ser>
          <c:idx val="1"/>
          <c:order val="1"/>
          <c:tx>
            <c:strRef>
              <c:f>Sheet1!$C$1</c:f>
              <c:strCache>
                <c:ptCount val="1"/>
                <c:pt idx="0">
                  <c:v>Jan'12</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0.28999999999999998</c:v>
                </c:pt>
                <c:pt idx="1">
                  <c:v>0.48</c:v>
                </c:pt>
                <c:pt idx="2">
                  <c:v>0.24</c:v>
                </c:pt>
              </c:numCache>
            </c:numRef>
          </c:val>
        </c:ser>
        <c:ser>
          <c:idx val="2"/>
          <c:order val="2"/>
          <c:tx>
            <c:strRef>
              <c:f>Sheet1!$D$1</c:f>
              <c:strCache>
                <c:ptCount val="1"/>
                <c:pt idx="0">
                  <c:v>Apr'12</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0.25</c:v>
                </c:pt>
                <c:pt idx="1">
                  <c:v>0.44</c:v>
                </c:pt>
                <c:pt idx="2">
                  <c:v>0.31</c:v>
                </c:pt>
              </c:numCache>
            </c:numRef>
          </c:val>
        </c:ser>
        <c:ser>
          <c:idx val="3"/>
          <c:order val="3"/>
          <c:tx>
            <c:strRef>
              <c:f>Sheet1!$E$1</c:f>
              <c:strCache>
                <c:ptCount val="1"/>
                <c:pt idx="0">
                  <c:v>Sept'12</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0.26</c:v>
                </c:pt>
                <c:pt idx="1">
                  <c:v>0.43</c:v>
                </c:pt>
                <c:pt idx="2">
                  <c:v>0.31</c:v>
                </c:pt>
              </c:numCache>
            </c:numRef>
          </c:val>
        </c:ser>
        <c:ser>
          <c:idx val="4"/>
          <c:order val="4"/>
          <c:tx>
            <c:strRef>
              <c:f>Sheet1!$F$1</c:f>
              <c:strCache>
                <c:ptCount val="1"/>
                <c:pt idx="0">
                  <c:v>Nov'12</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0.28999999999999998</c:v>
                </c:pt>
                <c:pt idx="1">
                  <c:v>0.45</c:v>
                </c:pt>
                <c:pt idx="2">
                  <c:v>0.26</c:v>
                </c:pt>
              </c:numCache>
            </c:numRef>
          </c:val>
        </c:ser>
        <c:dLbls>
          <c:showLegendKey val="0"/>
          <c:showVal val="1"/>
          <c:showCatName val="0"/>
          <c:showSerName val="0"/>
          <c:showPercent val="0"/>
          <c:showBubbleSize val="0"/>
        </c:dLbls>
        <c:gapWidth val="150"/>
        <c:axId val="135568384"/>
        <c:axId val="135570176"/>
      </c:barChart>
      <c:catAx>
        <c:axId val="135568384"/>
        <c:scaling>
          <c:orientation val="minMax"/>
        </c:scaling>
        <c:delete val="0"/>
        <c:axPos val="b"/>
        <c:numFmt formatCode="General" sourceLinked="1"/>
        <c:majorTickMark val="out"/>
        <c:minorTickMark val="none"/>
        <c:tickLblPos val="nextTo"/>
        <c:txPr>
          <a:bodyPr/>
          <a:lstStyle/>
          <a:p>
            <a:pPr>
              <a:defRPr b="0"/>
            </a:pPr>
            <a:endParaRPr lang="en-US"/>
          </a:p>
        </c:txPr>
        <c:crossAx val="135570176"/>
        <c:crosses val="autoZero"/>
        <c:auto val="1"/>
        <c:lblAlgn val="ctr"/>
        <c:lblOffset val="100"/>
        <c:noMultiLvlLbl val="0"/>
      </c:catAx>
      <c:valAx>
        <c:axId val="135570176"/>
        <c:scaling>
          <c:orientation val="minMax"/>
        </c:scaling>
        <c:delete val="0"/>
        <c:axPos val="l"/>
        <c:numFmt formatCode="0%" sourceLinked="1"/>
        <c:majorTickMark val="out"/>
        <c:minorTickMark val="none"/>
        <c:tickLblPos val="nextTo"/>
        <c:txPr>
          <a:bodyPr/>
          <a:lstStyle/>
          <a:p>
            <a:pPr>
              <a:defRPr b="0"/>
            </a:pPr>
            <a:endParaRPr lang="en-US"/>
          </a:p>
        </c:txPr>
        <c:crossAx val="135568384"/>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Sheet1!$B$1:$BI$1</c:f>
              <c:strCache>
                <c:ptCount val="60"/>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strCache>
            </c:strRef>
          </c:cat>
          <c:val>
            <c:numRef>
              <c:f>Sheet1!$B$2:$BI$2</c:f>
              <c:numCache>
                <c:formatCode>General</c:formatCode>
                <c:ptCount val="60"/>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pt idx="58">
                  <c:v>178</c:v>
                </c:pt>
                <c:pt idx="59">
                  <c:v>106</c:v>
                </c:pt>
              </c:numCache>
            </c:numRef>
          </c:val>
          <c:smooth val="0"/>
        </c:ser>
        <c:ser>
          <c:idx val="1"/>
          <c:order val="1"/>
          <c:tx>
            <c:strRef>
              <c:f>Sheet1!$A$3</c:f>
              <c:strCache>
                <c:ptCount val="1"/>
                <c:pt idx="0">
                  <c:v>Current Sit. Index</c:v>
                </c:pt>
              </c:strCache>
            </c:strRef>
          </c:tx>
          <c:marker>
            <c:symbol val="square"/>
            <c:size val="7"/>
          </c:marker>
          <c:cat>
            <c:strRef>
              <c:f>Sheet1!$B$1:$BI$1</c:f>
              <c:strCache>
                <c:ptCount val="60"/>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strCache>
            </c:strRef>
          </c:cat>
          <c:val>
            <c:numRef>
              <c:f>Sheet1!$B$3:$BI$3</c:f>
              <c:numCache>
                <c:formatCode>General</c:formatCode>
                <c:ptCount val="60"/>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pt idx="58">
                  <c:v>-26</c:v>
                </c:pt>
                <c:pt idx="59">
                  <c:v>-22</c:v>
                </c:pt>
              </c:numCache>
            </c:numRef>
          </c:val>
          <c:smooth val="0"/>
        </c:ser>
        <c:ser>
          <c:idx val="2"/>
          <c:order val="2"/>
          <c:tx>
            <c:strRef>
              <c:f>Sheet1!$A$4</c:f>
              <c:strCache>
                <c:ptCount val="1"/>
                <c:pt idx="0">
                  <c:v>Future Exp. Index</c:v>
                </c:pt>
              </c:strCache>
            </c:strRef>
          </c:tx>
          <c:marker>
            <c:spPr>
              <a:solidFill>
                <a:srgbClr val="00B050"/>
              </a:solidFill>
            </c:spPr>
          </c:marker>
          <c:cat>
            <c:strRef>
              <c:f>Sheet1!$B$1:$BI$1</c:f>
              <c:strCache>
                <c:ptCount val="60"/>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strCache>
            </c:strRef>
          </c:cat>
          <c:val>
            <c:numRef>
              <c:f>Sheet1!$B$4:$BI$4</c:f>
              <c:numCache>
                <c:formatCode>General</c:formatCode>
                <c:ptCount val="60"/>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pt idx="58">
                  <c:v>112</c:v>
                </c:pt>
                <c:pt idx="59">
                  <c:v>55</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Sheet1!$B$1:$BI$1</c:f>
              <c:strCache>
                <c:ptCount val="60"/>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strCache>
            </c:strRef>
          </c:cat>
          <c:val>
            <c:numRef>
              <c:f>Sheet1!$B$5:$BI$5</c:f>
              <c:numCache>
                <c:formatCode>General</c:formatCode>
                <c:ptCount val="60"/>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pt idx="58">
                  <c:v>92</c:v>
                </c:pt>
                <c:pt idx="59">
                  <c:v>73</c:v>
                </c:pt>
              </c:numCache>
            </c:numRef>
          </c:val>
          <c:smooth val="0"/>
        </c:ser>
        <c:dLbls>
          <c:showLegendKey val="0"/>
          <c:showVal val="0"/>
          <c:showCatName val="0"/>
          <c:showSerName val="0"/>
          <c:showPercent val="0"/>
          <c:showBubbleSize val="0"/>
        </c:dLbls>
        <c:marker val="1"/>
        <c:smooth val="0"/>
        <c:axId val="136092672"/>
        <c:axId val="136103040"/>
      </c:lineChart>
      <c:catAx>
        <c:axId val="136092672"/>
        <c:scaling>
          <c:orientation val="minMax"/>
        </c:scaling>
        <c:delete val="0"/>
        <c:axPos val="b"/>
        <c:majorTickMark val="out"/>
        <c:minorTickMark val="none"/>
        <c:tickLblPos val="nextTo"/>
        <c:txPr>
          <a:bodyPr/>
          <a:lstStyle/>
          <a:p>
            <a:pPr>
              <a:defRPr sz="800"/>
            </a:pPr>
            <a:endParaRPr lang="en-US"/>
          </a:p>
        </c:txPr>
        <c:crossAx val="136103040"/>
        <c:crosses val="autoZero"/>
        <c:auto val="1"/>
        <c:lblAlgn val="ctr"/>
        <c:lblOffset val="100"/>
        <c:noMultiLvlLbl val="0"/>
      </c:catAx>
      <c:valAx>
        <c:axId val="136103040"/>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136092672"/>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EE9A78-B085-413D-B20E-BD068418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19730</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Tim Graeff</cp:lastModifiedBy>
  <cp:revision>17</cp:revision>
  <cp:lastPrinted>2012-11-30T18:40:00Z</cp:lastPrinted>
  <dcterms:created xsi:type="dcterms:W3CDTF">2012-11-30T17:42:00Z</dcterms:created>
  <dcterms:modified xsi:type="dcterms:W3CDTF">2012-11-30T18:53:00Z</dcterms:modified>
</cp:coreProperties>
</file>