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1041CB" w:rsidRDefault="0070502B" w:rsidP="008A757A">
      <w:pPr>
        <w:pStyle w:val="Title"/>
        <w:jc w:val="center"/>
      </w:pPr>
      <w:r w:rsidRPr="001041CB">
        <w:t xml:space="preserve">Middle Tennessee </w:t>
      </w:r>
      <w:r w:rsidR="00A07B8D" w:rsidRPr="001041CB">
        <w:t xml:space="preserve">Consumer </w:t>
      </w:r>
      <w:r w:rsidR="002432C1" w:rsidRPr="001041CB">
        <w:t>O</w:t>
      </w:r>
      <w:r w:rsidR="00A07B8D" w:rsidRPr="001041CB">
        <w:t xml:space="preserve">utlook </w:t>
      </w:r>
      <w:r w:rsidR="00140EF4" w:rsidRPr="001041CB">
        <w:t>I</w:t>
      </w:r>
      <w:r w:rsidR="00A07B8D" w:rsidRPr="001041CB">
        <w:t>ndex</w:t>
      </w:r>
    </w:p>
    <w:p w:rsidR="0070502B" w:rsidRPr="008A757A" w:rsidRDefault="004C6631"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February 1,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Pr>
          <w:rFonts w:asciiTheme="minorHAnsi" w:hAnsiTheme="minorHAnsi"/>
          <w:bCs/>
          <w:color w:val="002060"/>
          <w:sz w:val="28"/>
        </w:rPr>
        <w:t>3</w:t>
      </w:r>
    </w:p>
    <w:p w:rsidR="0070502B" w:rsidRPr="008A757A" w:rsidRDefault="0070502B">
      <w:pPr>
        <w:rPr>
          <w:rFonts w:asciiTheme="minorHAnsi" w:hAnsiTheme="minorHAnsi"/>
          <w:color w:val="002060"/>
        </w:rPr>
      </w:pPr>
    </w:p>
    <w:p w:rsidR="0070502B" w:rsidRPr="008A757A"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FB0B39"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9F27C3" w:rsidRDefault="009F27C3" w:rsidP="007A4C2B">
      <w:pPr>
        <w:jc w:val="center"/>
        <w:rPr>
          <w:rFonts w:asciiTheme="minorHAnsi" w:hAnsiTheme="minorHAnsi"/>
          <w:b/>
          <w:bCs/>
          <w:color w:val="002060"/>
          <w:sz w:val="32"/>
          <w:szCs w:val="32"/>
        </w:rPr>
      </w:pPr>
    </w:p>
    <w:p w:rsidR="007F668D" w:rsidRPr="008A757A" w:rsidRDefault="008F3A00" w:rsidP="007A4C2B">
      <w:pPr>
        <w:jc w:val="center"/>
        <w:rPr>
          <w:rFonts w:asciiTheme="minorHAnsi" w:hAnsiTheme="minorHAnsi"/>
          <w:b/>
          <w:bCs/>
          <w:color w:val="002060"/>
          <w:sz w:val="32"/>
          <w:szCs w:val="32"/>
        </w:rPr>
      </w:pPr>
      <w:r w:rsidRPr="008A757A">
        <w:rPr>
          <w:rFonts w:asciiTheme="minorHAnsi" w:hAnsiTheme="minorHAnsi"/>
          <w:b/>
          <w:bCs/>
          <w:color w:val="002060"/>
          <w:sz w:val="32"/>
          <w:szCs w:val="32"/>
        </w:rPr>
        <w:t>Consumer</w:t>
      </w:r>
      <w:r w:rsidR="007A4C2B" w:rsidRPr="008A757A">
        <w:rPr>
          <w:rFonts w:asciiTheme="minorHAnsi" w:hAnsiTheme="minorHAnsi"/>
          <w:b/>
          <w:bCs/>
          <w:color w:val="002060"/>
          <w:sz w:val="32"/>
          <w:szCs w:val="32"/>
        </w:rPr>
        <w:t>s</w:t>
      </w:r>
      <w:r w:rsidR="007D5075" w:rsidRPr="008A757A">
        <w:rPr>
          <w:rFonts w:asciiTheme="minorHAnsi" w:hAnsiTheme="minorHAnsi"/>
          <w:b/>
          <w:bCs/>
          <w:color w:val="002060"/>
          <w:sz w:val="32"/>
          <w:szCs w:val="32"/>
        </w:rPr>
        <w:t xml:space="preserve"> </w:t>
      </w:r>
      <w:r w:rsidR="00FB0B39">
        <w:rPr>
          <w:rFonts w:asciiTheme="minorHAnsi" w:hAnsiTheme="minorHAnsi"/>
          <w:b/>
          <w:bCs/>
          <w:color w:val="002060"/>
          <w:sz w:val="32"/>
          <w:szCs w:val="32"/>
        </w:rPr>
        <w:t>More Upbeat About the Economy</w:t>
      </w:r>
    </w:p>
    <w:p w:rsidR="00BD7307" w:rsidRPr="00A16353" w:rsidRDefault="00ED7049" w:rsidP="007A4C2B">
      <w:pPr>
        <w:jc w:val="center"/>
        <w:rPr>
          <w:rFonts w:asciiTheme="minorHAnsi" w:hAnsiTheme="minorHAnsi"/>
          <w:bCs/>
        </w:rPr>
      </w:pPr>
      <w:r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FB0B39" w:rsidRDefault="00A0104E" w:rsidP="009821BD">
      <w:pPr>
        <w:pStyle w:val="BodyText"/>
        <w:jc w:val="both"/>
        <w:rPr>
          <w:rFonts w:asciiTheme="minorHAnsi" w:hAnsiTheme="minorHAnsi"/>
          <w:bCs/>
        </w:rPr>
      </w:pPr>
      <w:r>
        <w:rPr>
          <w:rFonts w:asciiTheme="minorHAnsi" w:hAnsiTheme="minorHAnsi"/>
          <w:bCs/>
        </w:rPr>
        <w:t xml:space="preserve">     Following a </w:t>
      </w:r>
      <w:r w:rsidR="00FB0B39">
        <w:rPr>
          <w:rFonts w:asciiTheme="minorHAnsi" w:hAnsiTheme="minorHAnsi"/>
          <w:bCs/>
        </w:rPr>
        <w:t>decline in consumers’ outlook on the economy at the end of last year, local consume</w:t>
      </w:r>
      <w:r w:rsidR="009F27C3">
        <w:rPr>
          <w:rFonts w:asciiTheme="minorHAnsi" w:hAnsiTheme="minorHAnsi"/>
          <w:bCs/>
        </w:rPr>
        <w:t>r</w:t>
      </w:r>
      <w:r w:rsidR="00FB0B39">
        <w:rPr>
          <w:rFonts w:asciiTheme="minorHAnsi" w:hAnsiTheme="minorHAnsi"/>
          <w:bCs/>
        </w:rPr>
        <w:t xml:space="preserve">s have become more optimistic about the future of the economy.  </w:t>
      </w:r>
      <w:r w:rsidR="00FC0884">
        <w:rPr>
          <w:rFonts w:asciiTheme="minorHAnsi" w:hAnsiTheme="minorHAnsi"/>
          <w:bCs/>
        </w:rPr>
        <w:t xml:space="preserve">The overall </w:t>
      </w:r>
      <w:r>
        <w:rPr>
          <w:rFonts w:asciiTheme="minorHAnsi" w:hAnsiTheme="minorHAnsi"/>
          <w:bCs/>
        </w:rPr>
        <w:t xml:space="preserve">consumer </w:t>
      </w:r>
      <w:r w:rsidR="00FC0884">
        <w:rPr>
          <w:rFonts w:asciiTheme="minorHAnsi" w:hAnsiTheme="minorHAnsi"/>
          <w:bCs/>
        </w:rPr>
        <w:t xml:space="preserve">outlook index </w:t>
      </w:r>
      <w:r w:rsidR="00FB0B39">
        <w:rPr>
          <w:rFonts w:asciiTheme="minorHAnsi" w:hAnsiTheme="minorHAnsi"/>
          <w:bCs/>
        </w:rPr>
        <w:t>rose to 144 from 106 last November.  This was fueled by increasing</w:t>
      </w:r>
      <w:r w:rsidR="009F27C3">
        <w:rPr>
          <w:rFonts w:asciiTheme="minorHAnsi" w:hAnsiTheme="minorHAnsi"/>
          <w:bCs/>
        </w:rPr>
        <w:t>ly</w:t>
      </w:r>
      <w:r w:rsidR="00FB0B39">
        <w:rPr>
          <w:rFonts w:asciiTheme="minorHAnsi" w:hAnsiTheme="minorHAnsi"/>
          <w:bCs/>
        </w:rPr>
        <w:t xml:space="preserve"> more positive views of the current economy, </w:t>
      </w:r>
      <w:r w:rsidR="009F27C3">
        <w:rPr>
          <w:rFonts w:asciiTheme="minorHAnsi" w:hAnsiTheme="minorHAnsi"/>
          <w:bCs/>
        </w:rPr>
        <w:t xml:space="preserve">greater expectations for </w:t>
      </w:r>
      <w:r w:rsidR="00FB0B39">
        <w:rPr>
          <w:rFonts w:asciiTheme="minorHAnsi" w:hAnsiTheme="minorHAnsi"/>
          <w:bCs/>
        </w:rPr>
        <w:t xml:space="preserve">the future of the economy, and </w:t>
      </w:r>
      <w:r w:rsidR="009F27C3">
        <w:rPr>
          <w:rFonts w:asciiTheme="minorHAnsi" w:hAnsiTheme="minorHAnsi"/>
          <w:bCs/>
        </w:rPr>
        <w:t xml:space="preserve">a growing sense that now is a good time to make large purchases.  </w:t>
      </w:r>
      <w:r w:rsidR="00FB0B39" w:rsidRPr="00A16353">
        <w:rPr>
          <w:rFonts w:asciiTheme="minorHAnsi" w:hAnsiTheme="minorHAnsi"/>
        </w:rPr>
        <w:t>The current poll of</w:t>
      </w:r>
      <w:r w:rsidR="00FB0B39">
        <w:rPr>
          <w:rFonts w:asciiTheme="minorHAnsi" w:hAnsiTheme="minorHAnsi"/>
        </w:rPr>
        <w:t xml:space="preserve"> 334 </w:t>
      </w:r>
      <w:r w:rsidR="00FB0B39" w:rsidRPr="00A16353">
        <w:rPr>
          <w:rFonts w:asciiTheme="minorHAnsi" w:hAnsiTheme="minorHAnsi"/>
        </w:rPr>
        <w:t>randomly selected adult residents of Davidson</w:t>
      </w:r>
      <w:r w:rsidR="004F1E98">
        <w:rPr>
          <w:rFonts w:asciiTheme="minorHAnsi" w:hAnsiTheme="minorHAnsi"/>
        </w:rPr>
        <w:t xml:space="preserve"> County</w:t>
      </w:r>
      <w:r w:rsidR="00FB0B39" w:rsidRPr="00A16353">
        <w:rPr>
          <w:rFonts w:asciiTheme="minorHAnsi" w:hAnsiTheme="minorHAnsi"/>
        </w:rPr>
        <w:t>, Rutherford</w:t>
      </w:r>
      <w:r w:rsidR="004F1E98">
        <w:rPr>
          <w:rFonts w:asciiTheme="minorHAnsi" w:hAnsiTheme="minorHAnsi"/>
        </w:rPr>
        <w:t xml:space="preserve"> County</w:t>
      </w:r>
      <w:r w:rsidR="00FB0B39" w:rsidRPr="00A16353">
        <w:rPr>
          <w:rFonts w:asciiTheme="minorHAnsi" w:hAnsiTheme="minorHAnsi"/>
        </w:rPr>
        <w:t xml:space="preserve"> and Williamson </w:t>
      </w:r>
      <w:r w:rsidR="004F1E98">
        <w:rPr>
          <w:rFonts w:asciiTheme="minorHAnsi" w:hAnsiTheme="minorHAnsi"/>
        </w:rPr>
        <w:t xml:space="preserve">County </w:t>
      </w:r>
      <w:r w:rsidR="00FB0B39" w:rsidRPr="00A16353">
        <w:rPr>
          <w:rFonts w:asciiTheme="minorHAnsi" w:hAnsiTheme="minorHAnsi"/>
        </w:rPr>
        <w:t xml:space="preserve">was conducted the evenings of </w:t>
      </w:r>
      <w:r w:rsidR="00FB0B39">
        <w:rPr>
          <w:rFonts w:asciiTheme="minorHAnsi" w:hAnsiTheme="minorHAnsi"/>
        </w:rPr>
        <w:t>Tuesday, January 29</w:t>
      </w:r>
      <w:r w:rsidR="009F27C3">
        <w:rPr>
          <w:rFonts w:asciiTheme="minorHAnsi" w:hAnsiTheme="minorHAnsi"/>
        </w:rPr>
        <w:t>,</w:t>
      </w:r>
      <w:r w:rsidR="00FB0B39">
        <w:rPr>
          <w:rFonts w:asciiTheme="minorHAnsi" w:hAnsiTheme="minorHAnsi"/>
        </w:rPr>
        <w:t xml:space="preserve"> Wednesday, January 30</w:t>
      </w:r>
      <w:r w:rsidR="009F27C3">
        <w:rPr>
          <w:rFonts w:asciiTheme="minorHAnsi" w:hAnsiTheme="minorHAnsi"/>
        </w:rPr>
        <w:t>,</w:t>
      </w:r>
      <w:r w:rsidR="00FB0B39">
        <w:rPr>
          <w:rFonts w:asciiTheme="minorHAnsi" w:hAnsiTheme="minorHAnsi"/>
        </w:rPr>
        <w:t xml:space="preserve"> and Thursday, January 31. </w:t>
      </w:r>
      <w:r w:rsidR="00FB0B39" w:rsidRPr="00A16353">
        <w:rPr>
          <w:rFonts w:asciiTheme="minorHAnsi" w:hAnsiTheme="minorHAnsi"/>
        </w:rPr>
        <w:t xml:space="preserve">  </w:t>
      </w:r>
    </w:p>
    <w:p w:rsidR="00FB0B39" w:rsidRDefault="00FB0B39" w:rsidP="00FB0B39">
      <w:pPr>
        <w:pStyle w:val="BodyText"/>
        <w:jc w:val="both"/>
        <w:rPr>
          <w:rFonts w:asciiTheme="minorHAnsi" w:hAnsiTheme="minorHAnsi"/>
          <w:bCs/>
        </w:rPr>
      </w:pPr>
    </w:p>
    <w:p w:rsidR="009F27C3" w:rsidRDefault="009F27C3" w:rsidP="00FB0B39">
      <w:pPr>
        <w:pStyle w:val="BodyText"/>
        <w:jc w:val="both"/>
        <w:rPr>
          <w:rFonts w:asciiTheme="minorHAnsi" w:hAnsiTheme="minorHAnsi"/>
          <w:bCs/>
        </w:rPr>
      </w:pPr>
    </w:p>
    <w:p w:rsidR="00FB0B39" w:rsidRDefault="00FB0B39" w:rsidP="00FB0B39">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FB0B39" w:rsidRPr="00ED7F2F" w:rsidRDefault="00FB0B39" w:rsidP="00FB0B39">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FB0B39" w:rsidRPr="00A16353" w:rsidTr="00FB0B39">
        <w:trPr>
          <w:trHeight w:val="255"/>
        </w:trPr>
        <w:tc>
          <w:tcPr>
            <w:tcW w:w="1815" w:type="dxa"/>
            <w:shd w:val="clear" w:color="auto" w:fill="B8CCE4" w:themeFill="accent1" w:themeFillTint="66"/>
            <w:noWrap/>
            <w:tcMar>
              <w:top w:w="15" w:type="dxa"/>
              <w:left w:w="15" w:type="dxa"/>
              <w:bottom w:w="0" w:type="dxa"/>
              <w:right w:w="15" w:type="dxa"/>
            </w:tcMar>
            <w:vAlign w:val="bottom"/>
          </w:tcPr>
          <w:p w:rsidR="00FB0B39" w:rsidRPr="00A16353" w:rsidRDefault="00FB0B39" w:rsidP="00FB0B39">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Dec ‘10</w:t>
            </w:r>
          </w:p>
        </w:tc>
        <w:tc>
          <w:tcPr>
            <w:tcW w:w="630" w:type="dxa"/>
            <w:shd w:val="clear" w:color="auto" w:fill="B8CCE4" w:themeFill="accent1" w:themeFillTint="66"/>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Feb ‘11</w:t>
            </w:r>
          </w:p>
        </w:tc>
        <w:tc>
          <w:tcPr>
            <w:tcW w:w="630" w:type="dxa"/>
            <w:shd w:val="clear" w:color="auto" w:fill="B8CCE4" w:themeFill="accent1" w:themeFillTint="66"/>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Dec</w:t>
            </w:r>
          </w:p>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Jan</w:t>
            </w:r>
          </w:p>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FB0B39" w:rsidRPr="008C68FB" w:rsidRDefault="00FB0B39" w:rsidP="00FB0B39">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FB0B39" w:rsidRPr="002C5F55" w:rsidRDefault="00FB0B39" w:rsidP="00FB0B39">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FB0B39" w:rsidRPr="004C6631" w:rsidRDefault="00FB0B39" w:rsidP="00FB0B39">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FB0B39" w:rsidRPr="004C6631" w:rsidRDefault="00FB0B39" w:rsidP="00FB0B39">
            <w:pPr>
              <w:jc w:val="center"/>
              <w:rPr>
                <w:rFonts w:asciiTheme="minorHAnsi" w:hAnsiTheme="minorHAnsi"/>
                <w:b/>
                <w:bCs/>
                <w:sz w:val="24"/>
                <w:szCs w:val="24"/>
              </w:rPr>
            </w:pPr>
            <w:r>
              <w:rPr>
                <w:rFonts w:asciiTheme="minorHAnsi" w:hAnsiTheme="minorHAnsi"/>
                <w:b/>
                <w:bCs/>
                <w:sz w:val="24"/>
                <w:szCs w:val="24"/>
              </w:rPr>
              <w:t>Feb</w:t>
            </w:r>
            <w:r w:rsidRPr="004C6631">
              <w:rPr>
                <w:rFonts w:asciiTheme="minorHAnsi" w:hAnsiTheme="minorHAnsi"/>
                <w:b/>
                <w:bCs/>
                <w:sz w:val="24"/>
                <w:szCs w:val="24"/>
              </w:rPr>
              <w:t xml:space="preserve"> ‘13</w:t>
            </w:r>
          </w:p>
        </w:tc>
      </w:tr>
      <w:tr w:rsidR="00FB0B39" w:rsidRPr="00A16353" w:rsidTr="00FB0B39">
        <w:trPr>
          <w:trHeight w:val="255"/>
        </w:trPr>
        <w:tc>
          <w:tcPr>
            <w:tcW w:w="1815" w:type="dxa"/>
            <w:noWrap/>
            <w:tcMar>
              <w:top w:w="15" w:type="dxa"/>
              <w:left w:w="15" w:type="dxa"/>
              <w:bottom w:w="0" w:type="dxa"/>
              <w:right w:w="15" w:type="dxa"/>
            </w:tcMar>
            <w:vAlign w:val="center"/>
          </w:tcPr>
          <w:p w:rsidR="00FB0B39" w:rsidRPr="00A16353" w:rsidRDefault="00FB0B39" w:rsidP="00FB0B39">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69</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129</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FB0B39" w:rsidRPr="008C68FB" w:rsidRDefault="00FB0B39" w:rsidP="00FB0B39">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FB0B39" w:rsidRPr="002C5F55" w:rsidRDefault="00FB0B39" w:rsidP="00FB0B39">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FB0B39" w:rsidRPr="004C6631" w:rsidRDefault="00FB0B39" w:rsidP="00FB0B39">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FB0B39" w:rsidRPr="004C6631" w:rsidRDefault="00FB0B39" w:rsidP="00FB0B39">
            <w:pPr>
              <w:jc w:val="center"/>
              <w:rPr>
                <w:rFonts w:asciiTheme="minorHAnsi" w:hAnsiTheme="minorHAnsi"/>
                <w:b/>
                <w:bCs/>
                <w:sz w:val="24"/>
                <w:szCs w:val="24"/>
              </w:rPr>
            </w:pPr>
            <w:r>
              <w:rPr>
                <w:rFonts w:asciiTheme="minorHAnsi" w:hAnsiTheme="minorHAnsi"/>
                <w:b/>
                <w:bCs/>
                <w:sz w:val="24"/>
                <w:szCs w:val="24"/>
              </w:rPr>
              <w:t>144</w:t>
            </w:r>
            <w:r w:rsidRPr="002C5F55">
              <w:rPr>
                <w:rStyle w:val="FootnoteReference"/>
                <w:rFonts w:asciiTheme="minorHAnsi" w:hAnsiTheme="minorHAnsi"/>
                <w:sz w:val="24"/>
                <w:szCs w:val="24"/>
              </w:rPr>
              <w:footnoteReference w:id="1"/>
            </w:r>
          </w:p>
        </w:tc>
      </w:tr>
      <w:tr w:rsidR="00FB0B39" w:rsidRPr="00A16353" w:rsidTr="00FB0B39">
        <w:trPr>
          <w:trHeight w:val="255"/>
        </w:trPr>
        <w:tc>
          <w:tcPr>
            <w:tcW w:w="1815" w:type="dxa"/>
            <w:noWrap/>
            <w:tcMar>
              <w:top w:w="15" w:type="dxa"/>
              <w:left w:w="15" w:type="dxa"/>
              <w:bottom w:w="0" w:type="dxa"/>
              <w:right w:w="15" w:type="dxa"/>
            </w:tcMar>
            <w:vAlign w:val="center"/>
          </w:tcPr>
          <w:p w:rsidR="00FB0B39" w:rsidRPr="00A16353" w:rsidRDefault="00FB0B39" w:rsidP="00FB0B39">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-74</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FB0B39" w:rsidRPr="008C68FB" w:rsidRDefault="00FB0B39" w:rsidP="00FB0B39">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FB0B39" w:rsidRPr="002C5F55" w:rsidRDefault="00FB0B39" w:rsidP="00FB0B39">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FB0B39" w:rsidRPr="004C6631" w:rsidRDefault="00FB0B39" w:rsidP="00FB0B39">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FB0B39" w:rsidRPr="004C6631" w:rsidRDefault="00FB0B39" w:rsidP="00FB0B39">
            <w:pPr>
              <w:jc w:val="center"/>
              <w:rPr>
                <w:rFonts w:asciiTheme="minorHAnsi" w:hAnsiTheme="minorHAnsi"/>
                <w:b/>
                <w:bCs/>
                <w:sz w:val="24"/>
                <w:szCs w:val="24"/>
              </w:rPr>
            </w:pPr>
            <w:r>
              <w:rPr>
                <w:rFonts w:asciiTheme="minorHAnsi" w:hAnsiTheme="minorHAnsi"/>
                <w:b/>
                <w:bCs/>
                <w:sz w:val="24"/>
                <w:szCs w:val="24"/>
              </w:rPr>
              <w:t>-16</w:t>
            </w:r>
          </w:p>
        </w:tc>
      </w:tr>
      <w:tr w:rsidR="00FB0B39" w:rsidRPr="00A16353" w:rsidTr="00FB0B39">
        <w:trPr>
          <w:trHeight w:val="255"/>
        </w:trPr>
        <w:tc>
          <w:tcPr>
            <w:tcW w:w="1815" w:type="dxa"/>
            <w:noWrap/>
            <w:tcMar>
              <w:top w:w="15" w:type="dxa"/>
              <w:left w:w="15" w:type="dxa"/>
              <w:bottom w:w="0" w:type="dxa"/>
              <w:right w:w="15" w:type="dxa"/>
            </w:tcMar>
            <w:vAlign w:val="center"/>
          </w:tcPr>
          <w:p w:rsidR="00FB0B39" w:rsidRPr="00A16353" w:rsidRDefault="00FB0B39" w:rsidP="00FB0B39">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123</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FB0B39" w:rsidRPr="008C68FB" w:rsidRDefault="00FB0B39" w:rsidP="00FB0B39">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FB0B39" w:rsidRPr="002C5F55" w:rsidRDefault="00FB0B39" w:rsidP="00FB0B39">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FB0B39" w:rsidRPr="004C6631" w:rsidRDefault="00FB0B39" w:rsidP="00FB0B39">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FB0B39" w:rsidRPr="004C6631" w:rsidRDefault="00FB0B39" w:rsidP="00FB0B39">
            <w:pPr>
              <w:jc w:val="center"/>
              <w:rPr>
                <w:rFonts w:asciiTheme="minorHAnsi" w:hAnsiTheme="minorHAnsi"/>
                <w:b/>
                <w:bCs/>
                <w:sz w:val="24"/>
                <w:szCs w:val="24"/>
              </w:rPr>
            </w:pPr>
            <w:r>
              <w:rPr>
                <w:rFonts w:asciiTheme="minorHAnsi" w:hAnsiTheme="minorHAnsi"/>
                <w:b/>
                <w:bCs/>
                <w:sz w:val="24"/>
                <w:szCs w:val="24"/>
              </w:rPr>
              <w:t>78</w:t>
            </w:r>
          </w:p>
        </w:tc>
      </w:tr>
      <w:tr w:rsidR="00FB0B39" w:rsidRPr="00A16353" w:rsidTr="00FB0B39">
        <w:trPr>
          <w:trHeight w:val="255"/>
        </w:trPr>
        <w:tc>
          <w:tcPr>
            <w:tcW w:w="1815" w:type="dxa"/>
            <w:noWrap/>
            <w:tcMar>
              <w:top w:w="15" w:type="dxa"/>
              <w:left w:w="15" w:type="dxa"/>
              <w:bottom w:w="0" w:type="dxa"/>
              <w:right w:w="15" w:type="dxa"/>
            </w:tcMar>
            <w:vAlign w:val="center"/>
          </w:tcPr>
          <w:p w:rsidR="00FB0B39" w:rsidRPr="00A16353" w:rsidRDefault="00FB0B39" w:rsidP="00FB0B39">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73</w:t>
            </w:r>
          </w:p>
        </w:tc>
        <w:tc>
          <w:tcPr>
            <w:tcW w:w="630" w:type="dxa"/>
          </w:tcPr>
          <w:p w:rsidR="00FB0B39" w:rsidRPr="00F80F97" w:rsidRDefault="00FB0B39" w:rsidP="00FB0B39">
            <w:pPr>
              <w:jc w:val="center"/>
              <w:rPr>
                <w:rFonts w:asciiTheme="minorHAnsi" w:hAnsiTheme="minorHAnsi"/>
                <w:bCs/>
                <w:sz w:val="24"/>
                <w:szCs w:val="24"/>
              </w:rPr>
            </w:pPr>
            <w:r w:rsidRPr="00F80F97">
              <w:rPr>
                <w:rFonts w:asciiTheme="minorHAnsi" w:hAnsiTheme="minorHAnsi"/>
                <w:bCs/>
                <w:sz w:val="24"/>
                <w:szCs w:val="24"/>
              </w:rPr>
              <w:t>80</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FB0B39" w:rsidRPr="0022312B" w:rsidRDefault="00FB0B39" w:rsidP="00FB0B39">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FB0B39" w:rsidRPr="00140EF4" w:rsidRDefault="00FB0B39" w:rsidP="00FB0B39">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FB0B39" w:rsidRPr="008C68FB" w:rsidRDefault="00FB0B39" w:rsidP="00FB0B39">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FB0B39" w:rsidRPr="002C5F55" w:rsidRDefault="00FB0B39" w:rsidP="00FB0B39">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FB0B39" w:rsidRPr="004C6631" w:rsidRDefault="00FB0B39" w:rsidP="00FB0B39">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FB0B39" w:rsidRPr="004C6631" w:rsidRDefault="00FB0B39" w:rsidP="00FB0B39">
            <w:pPr>
              <w:jc w:val="center"/>
              <w:rPr>
                <w:rFonts w:asciiTheme="minorHAnsi" w:hAnsiTheme="minorHAnsi"/>
                <w:b/>
                <w:bCs/>
                <w:sz w:val="24"/>
                <w:szCs w:val="24"/>
              </w:rPr>
            </w:pPr>
            <w:r>
              <w:rPr>
                <w:rFonts w:asciiTheme="minorHAnsi" w:hAnsiTheme="minorHAnsi"/>
                <w:b/>
                <w:bCs/>
                <w:sz w:val="24"/>
                <w:szCs w:val="24"/>
              </w:rPr>
              <w:t>82</w:t>
            </w:r>
          </w:p>
        </w:tc>
      </w:tr>
    </w:tbl>
    <w:p w:rsidR="00FB0B39" w:rsidRDefault="00FB0B39" w:rsidP="00FB0B39">
      <w:pPr>
        <w:pStyle w:val="BodyText"/>
        <w:jc w:val="both"/>
        <w:rPr>
          <w:rFonts w:asciiTheme="minorHAnsi" w:hAnsiTheme="minorHAnsi"/>
          <w:bCs/>
        </w:rPr>
      </w:pPr>
    </w:p>
    <w:p w:rsidR="009739F2" w:rsidRDefault="009F27C3" w:rsidP="009821BD">
      <w:pPr>
        <w:pStyle w:val="BodyText"/>
        <w:jc w:val="both"/>
        <w:rPr>
          <w:rFonts w:asciiTheme="minorHAnsi" w:hAnsiTheme="minorHAnsi"/>
          <w:bCs/>
        </w:rPr>
      </w:pPr>
      <w:r>
        <w:rPr>
          <w:rFonts w:asciiTheme="minorHAnsi" w:hAnsiTheme="minorHAnsi"/>
          <w:bCs/>
        </w:rPr>
        <w:br w:type="column"/>
      </w:r>
    </w:p>
    <w:p w:rsidR="00FB0B39" w:rsidRDefault="00FB0B39" w:rsidP="009821BD">
      <w:pPr>
        <w:pStyle w:val="BodyText"/>
        <w:jc w:val="both"/>
        <w:rPr>
          <w:rFonts w:asciiTheme="minorHAnsi" w:hAnsiTheme="minorHAnsi"/>
          <w:bCs/>
        </w:rPr>
      </w:pPr>
      <w:r>
        <w:rPr>
          <w:rFonts w:asciiTheme="minorHAnsi" w:hAnsiTheme="minorHAnsi"/>
          <w:bCs/>
        </w:rPr>
        <w:t xml:space="preserve">     The current situation index gained to -16 from -22 in November.  However, the fact that the current situation index is still in the negative range indicates that the percent of consumers who view the </w:t>
      </w:r>
      <w:r w:rsidR="009739F2">
        <w:rPr>
          <w:rFonts w:asciiTheme="minorHAnsi" w:hAnsiTheme="minorHAnsi"/>
          <w:bCs/>
        </w:rPr>
        <w:t xml:space="preserve">current </w:t>
      </w:r>
      <w:r>
        <w:rPr>
          <w:rFonts w:asciiTheme="minorHAnsi" w:hAnsiTheme="minorHAnsi"/>
          <w:bCs/>
        </w:rPr>
        <w:t xml:space="preserve">economy negatively outnumbers the percent of consumer who view the current economy positively.  </w:t>
      </w:r>
    </w:p>
    <w:p w:rsidR="009F27C3" w:rsidRDefault="009F27C3" w:rsidP="009821BD">
      <w:pPr>
        <w:pStyle w:val="BodyText"/>
        <w:jc w:val="both"/>
        <w:rPr>
          <w:rFonts w:asciiTheme="minorHAnsi" w:hAnsiTheme="minorHAnsi"/>
          <w:bCs/>
        </w:rPr>
      </w:pPr>
    </w:p>
    <w:p w:rsidR="00FB0B39" w:rsidRDefault="00FB0B39" w:rsidP="009821BD">
      <w:pPr>
        <w:pStyle w:val="BodyText"/>
        <w:jc w:val="both"/>
        <w:rPr>
          <w:rFonts w:asciiTheme="minorHAnsi" w:hAnsiTheme="minorHAnsi"/>
          <w:bCs/>
        </w:rPr>
      </w:pPr>
      <w:r>
        <w:rPr>
          <w:rFonts w:asciiTheme="minorHAnsi" w:hAnsiTheme="minorHAnsi"/>
          <w:bCs/>
        </w:rPr>
        <w:t xml:space="preserve">     Similarly, the future expectations index rose to 78 from 55 indicating that consumers </w:t>
      </w:r>
      <w:r w:rsidR="009F27C3">
        <w:rPr>
          <w:rFonts w:asciiTheme="minorHAnsi" w:hAnsiTheme="minorHAnsi"/>
          <w:bCs/>
        </w:rPr>
        <w:t xml:space="preserve">are </w:t>
      </w:r>
      <w:r>
        <w:rPr>
          <w:rFonts w:asciiTheme="minorHAnsi" w:hAnsiTheme="minorHAnsi"/>
          <w:bCs/>
        </w:rPr>
        <w:t xml:space="preserve">becoming more optimistic about future growth </w:t>
      </w:r>
      <w:r w:rsidR="009F27C3">
        <w:rPr>
          <w:rFonts w:asciiTheme="minorHAnsi" w:hAnsiTheme="minorHAnsi"/>
          <w:bCs/>
        </w:rPr>
        <w:t>for</w:t>
      </w:r>
      <w:r>
        <w:rPr>
          <w:rFonts w:asciiTheme="minorHAnsi" w:hAnsiTheme="minorHAnsi"/>
          <w:bCs/>
        </w:rPr>
        <w:t xml:space="preserve"> the economy.  Likewise, the purchasing index rose to 82 from 73 indicating that more consumers believe that now is a good time to make large purchases.</w:t>
      </w:r>
    </w:p>
    <w:p w:rsidR="00FB0B39" w:rsidRDefault="00FB0B39" w:rsidP="009821BD">
      <w:pPr>
        <w:pStyle w:val="BodyText"/>
        <w:jc w:val="both"/>
        <w:rPr>
          <w:rFonts w:asciiTheme="minorHAnsi" w:hAnsiTheme="minorHAnsi"/>
          <w:bCs/>
        </w:rPr>
      </w:pPr>
    </w:p>
    <w:p w:rsidR="00B661BD" w:rsidRDefault="00BA63C3" w:rsidP="00B661BD">
      <w:pPr>
        <w:pStyle w:val="BodyText"/>
        <w:jc w:val="both"/>
        <w:rPr>
          <w:rFonts w:asciiTheme="minorHAnsi" w:hAnsiTheme="minorHAnsi"/>
          <w:bCs/>
        </w:rPr>
      </w:pPr>
      <w:r>
        <w:rPr>
          <w:rFonts w:asciiTheme="minorHAnsi" w:hAnsiTheme="minorHAnsi"/>
          <w:bCs/>
        </w:rPr>
        <w:t xml:space="preserve">  </w:t>
      </w:r>
      <w:r w:rsidR="009F27C3">
        <w:rPr>
          <w:rFonts w:asciiTheme="minorHAnsi" w:hAnsiTheme="minorHAnsi"/>
          <w:bCs/>
        </w:rPr>
        <w:t xml:space="preserve"> </w:t>
      </w:r>
      <w:r w:rsidR="00FB0B39">
        <w:rPr>
          <w:rFonts w:asciiTheme="minorHAnsi" w:hAnsiTheme="minorHAnsi"/>
          <w:bCs/>
        </w:rPr>
        <w:t xml:space="preserve">  However, a concern among retails and business</w:t>
      </w:r>
      <w:r w:rsidR="009739F2">
        <w:rPr>
          <w:rFonts w:asciiTheme="minorHAnsi" w:hAnsiTheme="minorHAnsi"/>
          <w:bCs/>
        </w:rPr>
        <w:t>es</w:t>
      </w:r>
      <w:r w:rsidR="00FB0B39">
        <w:rPr>
          <w:rFonts w:asciiTheme="minorHAnsi" w:hAnsiTheme="minorHAnsi"/>
          <w:bCs/>
        </w:rPr>
        <w:t xml:space="preserve"> is whether or not this more positive outlook on the economy will lead to increased consumer spending.  Even though consumers have a more favorable view of the future of the economy their spending might not </w:t>
      </w:r>
      <w:r w:rsidR="00967677">
        <w:rPr>
          <w:rFonts w:asciiTheme="minorHAnsi" w:hAnsiTheme="minorHAnsi"/>
          <w:bCs/>
        </w:rPr>
        <w:t>necessarily increase.  Continued concerns about the job marke</w:t>
      </w:r>
      <w:r w:rsidR="00655986">
        <w:rPr>
          <w:rFonts w:asciiTheme="minorHAnsi" w:hAnsiTheme="minorHAnsi"/>
          <w:bCs/>
        </w:rPr>
        <w:t>t</w:t>
      </w:r>
      <w:r w:rsidR="00967677">
        <w:rPr>
          <w:rFonts w:asciiTheme="minorHAnsi" w:hAnsiTheme="minorHAnsi"/>
          <w:bCs/>
        </w:rPr>
        <w:t xml:space="preserve"> and the negative effects of increasing taxes might dampen the effects of a positive outlook on consumers’ desire and ability to spend money.  Further, higher taxes are giving consumers concerns about their ability to save money now and in the future.  </w:t>
      </w:r>
    </w:p>
    <w:p w:rsidR="00F736A9" w:rsidRDefault="00F736A9" w:rsidP="00B661BD">
      <w:pPr>
        <w:pStyle w:val="BodyText"/>
        <w:jc w:val="both"/>
        <w:rPr>
          <w:rFonts w:asciiTheme="minorHAnsi" w:hAnsiTheme="minorHAnsi"/>
          <w:b/>
          <w:bCs/>
          <w:i/>
        </w:rPr>
      </w:pPr>
    </w:p>
    <w:p w:rsidR="008B50C4" w:rsidRDefault="008B50C4" w:rsidP="00B661BD">
      <w:pPr>
        <w:pStyle w:val="BodyText"/>
        <w:jc w:val="both"/>
        <w:rPr>
          <w:rFonts w:asciiTheme="minorHAnsi" w:hAnsiTheme="minorHAnsi"/>
          <w:b/>
          <w:bCs/>
          <w:i/>
        </w:rPr>
      </w:pPr>
    </w:p>
    <w:p w:rsidR="008B50C4" w:rsidRDefault="008B50C4" w:rsidP="00B661BD">
      <w:pPr>
        <w:pStyle w:val="BodyText"/>
        <w:jc w:val="both"/>
        <w:rPr>
          <w:rFonts w:asciiTheme="minorHAnsi" w:hAnsiTheme="minorHAnsi"/>
          <w:b/>
          <w:bCs/>
          <w:i/>
        </w:rPr>
      </w:pPr>
    </w:p>
    <w:p w:rsidR="00BA63C3" w:rsidRDefault="007F668D" w:rsidP="00B661BD">
      <w:pPr>
        <w:pStyle w:val="BodyText"/>
        <w:jc w:val="both"/>
        <w:rPr>
          <w:rFonts w:asciiTheme="minorHAnsi" w:hAnsiTheme="minorHAnsi"/>
          <w:bCs/>
        </w:rPr>
      </w:pPr>
      <w:r w:rsidRPr="007F668D">
        <w:rPr>
          <w:rFonts w:asciiTheme="minorHAnsi" w:hAnsiTheme="minorHAnsi"/>
          <w:b/>
          <w:bCs/>
          <w:i/>
        </w:rPr>
        <w:t>What Was on Consumers’ Minds?</w:t>
      </w:r>
      <w:r w:rsidR="00BA63C3">
        <w:rPr>
          <w:rFonts w:asciiTheme="minorHAnsi" w:hAnsiTheme="minorHAnsi"/>
          <w:bCs/>
        </w:rPr>
        <w:t xml:space="preserve">     Consumers were given an opportunity to offer a reason for why they rated the economy as they did.  Below is a word cloud that depicts the 25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p>
    <w:p w:rsidR="008B50C4" w:rsidRDefault="008B50C4" w:rsidP="00B661BD">
      <w:pPr>
        <w:pStyle w:val="BodyText"/>
        <w:jc w:val="both"/>
        <w:rPr>
          <w:rFonts w:asciiTheme="minorHAnsi" w:hAnsiTheme="minorHAnsi"/>
          <w:bCs/>
        </w:rPr>
      </w:pPr>
    </w:p>
    <w:p w:rsidR="00D161C8" w:rsidRDefault="00D161C8" w:rsidP="00B661BD">
      <w:pPr>
        <w:pStyle w:val="BodyText"/>
        <w:jc w:val="both"/>
        <w:rPr>
          <w:rFonts w:asciiTheme="minorHAnsi" w:hAnsiTheme="minorHAnsi"/>
          <w:bCs/>
        </w:rPr>
      </w:pPr>
    </w:p>
    <w:p w:rsidR="008A757A" w:rsidRDefault="00BB1BA0" w:rsidP="008A757A">
      <w:pPr>
        <w:pStyle w:val="BodyText"/>
        <w:jc w:val="center"/>
        <w:rPr>
          <w:rFonts w:asciiTheme="minorHAnsi" w:hAnsiTheme="minorHAnsi"/>
          <w:b/>
          <w:bCs/>
          <w:i/>
        </w:rPr>
      </w:pPr>
      <w:r>
        <w:rPr>
          <w:noProof/>
        </w:rPr>
        <w:drawing>
          <wp:inline distT="0" distB="0" distL="0" distR="0" wp14:anchorId="228B35C2" wp14:editId="519A0A2C">
            <wp:extent cx="5475255" cy="1609725"/>
            <wp:effectExtent l="114300" t="57150" r="49530" b="1047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239" t="22845" r="20641" b="52305"/>
                    <a:stretch/>
                  </pic:blipFill>
                  <pic:spPr bwMode="auto">
                    <a:xfrm>
                      <a:off x="0" y="0"/>
                      <a:ext cx="5501042" cy="1617306"/>
                    </a:xfrm>
                    <a:prstGeom prst="rect">
                      <a:avLst/>
                    </a:prstGeom>
                    <a:ln>
                      <a:solidFill>
                        <a:schemeClr val="tx1"/>
                      </a:solid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D161C8" w:rsidRDefault="008B50C4" w:rsidP="00FC0884">
      <w:pPr>
        <w:pStyle w:val="BodyText"/>
        <w:jc w:val="both"/>
        <w:rPr>
          <w:rFonts w:asciiTheme="minorHAnsi" w:hAnsiTheme="minorHAnsi"/>
          <w:b/>
          <w:bCs/>
          <w:i/>
        </w:rPr>
      </w:pPr>
      <w:r>
        <w:rPr>
          <w:rFonts w:asciiTheme="minorHAnsi" w:hAnsiTheme="minorHAnsi"/>
          <w:b/>
          <w:bCs/>
          <w:i/>
        </w:rPr>
        <w:br w:type="column"/>
      </w:r>
    </w:p>
    <w:p w:rsidR="001E06A1" w:rsidRDefault="00F736A9" w:rsidP="00967677">
      <w:pPr>
        <w:pStyle w:val="BodyText"/>
        <w:jc w:val="both"/>
        <w:rPr>
          <w:rFonts w:asciiTheme="minorHAnsi" w:hAnsiTheme="minorHAnsi"/>
          <w:b/>
          <w:bCs/>
          <w:u w:val="single"/>
        </w:rPr>
      </w:pPr>
      <w:r>
        <w:rPr>
          <w:rFonts w:asciiTheme="minorHAnsi" w:hAnsiTheme="minorHAnsi"/>
          <w:bCs/>
        </w:rPr>
        <w:t xml:space="preserve">     </w:t>
      </w:r>
      <w:r w:rsidR="00D63BD9">
        <w:rPr>
          <w:rFonts w:asciiTheme="minorHAnsi" w:hAnsiTheme="minorHAnsi"/>
          <w:bCs/>
        </w:rPr>
        <w:t xml:space="preserve">    </w:t>
      </w:r>
      <w:r w:rsidR="001E06A1">
        <w:rPr>
          <w:rFonts w:asciiTheme="minorHAnsi" w:hAnsiTheme="minorHAnsi"/>
          <w:b/>
          <w:bCs/>
          <w:noProof/>
          <w:u w:val="single"/>
        </w:rPr>
        <w:drawing>
          <wp:inline distT="0" distB="0" distL="0" distR="0" wp14:anchorId="005C4FFF" wp14:editId="7075A38E">
            <wp:extent cx="5143500" cy="4238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0C4" w:rsidRDefault="008B50C4" w:rsidP="00525FB0">
      <w:pPr>
        <w:pStyle w:val="BodyText"/>
        <w:jc w:val="both"/>
        <w:rPr>
          <w:rFonts w:asciiTheme="minorHAnsi" w:hAnsiTheme="minorHAnsi"/>
          <w:bCs/>
        </w:rPr>
      </w:pPr>
    </w:p>
    <w:p w:rsidR="008B50C4" w:rsidRDefault="008B50C4"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 xml:space="preserve">adding the percentage of favorable responses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4C6631">
        <w:rPr>
          <w:rFonts w:asciiTheme="minorHAnsi" w:hAnsiTheme="minorHAnsi"/>
          <w:bCs/>
          <w:sz w:val="24"/>
        </w:rPr>
        <w:t>November,</w:t>
      </w:r>
      <w:r w:rsidR="009173C5">
        <w:rPr>
          <w:rFonts w:asciiTheme="minorHAnsi" w:hAnsiTheme="minorHAnsi"/>
          <w:bCs/>
          <w:sz w:val="24"/>
        </w:rPr>
        <w:t xml:space="preserve"> </w:t>
      </w:r>
      <w:r>
        <w:rPr>
          <w:rFonts w:asciiTheme="minorHAnsi" w:hAnsiTheme="minorHAnsi"/>
          <w:bCs/>
          <w:sz w:val="24"/>
        </w:rPr>
        <w:t>2012</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ook w:val="04A0" w:firstRow="1" w:lastRow="0" w:firstColumn="1" w:lastColumn="0" w:noHBand="0" w:noVBand="1"/>
      </w:tblPr>
      <w:tblGrid>
        <w:gridCol w:w="5778"/>
        <w:gridCol w:w="1440"/>
        <w:gridCol w:w="1638"/>
      </w:tblGrid>
      <w:tr w:rsidR="00481431" w:rsidRPr="00A16353" w:rsidTr="006B566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78" w:type="dxa"/>
          </w:tcPr>
          <w:p w:rsidR="00481431" w:rsidRPr="00481431" w:rsidRDefault="00481431" w:rsidP="001A1A56">
            <w:pPr>
              <w:jc w:val="center"/>
              <w:rPr>
                <w:rFonts w:asciiTheme="minorHAnsi" w:hAnsiTheme="minorHAnsi"/>
                <w:b w:val="0"/>
                <w:sz w:val="16"/>
                <w:szCs w:val="16"/>
              </w:rPr>
            </w:pPr>
          </w:p>
        </w:tc>
        <w:tc>
          <w:tcPr>
            <w:tcW w:w="1440" w:type="dxa"/>
          </w:tcPr>
          <w:p w:rsidR="00481431" w:rsidRPr="008D70F0" w:rsidRDefault="00BB1BA0"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February </w:t>
            </w:r>
            <w:r w:rsidR="002C5F55">
              <w:rPr>
                <w:rFonts w:asciiTheme="minorHAnsi" w:hAnsiTheme="minorHAnsi"/>
                <w:sz w:val="24"/>
                <w:szCs w:val="24"/>
              </w:rPr>
              <w:t xml:space="preserve"> </w:t>
            </w:r>
            <w:r w:rsidR="00481431" w:rsidRPr="008D70F0">
              <w:rPr>
                <w:rFonts w:asciiTheme="minorHAnsi" w:hAnsiTheme="minorHAnsi"/>
                <w:sz w:val="24"/>
                <w:szCs w:val="24"/>
              </w:rPr>
              <w:t>201</w:t>
            </w:r>
            <w:r>
              <w:rPr>
                <w:rFonts w:asciiTheme="minorHAnsi" w:hAnsiTheme="minorHAnsi"/>
                <w:sz w:val="24"/>
                <w:szCs w:val="24"/>
              </w:rPr>
              <w:t>3</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638" w:type="dxa"/>
          </w:tcPr>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4C6631">
              <w:rPr>
                <w:rFonts w:asciiTheme="minorHAnsi" w:hAnsiTheme="minorHAnsi"/>
                <w:sz w:val="24"/>
                <w:szCs w:val="24"/>
              </w:rPr>
              <w:t>November</w:t>
            </w:r>
            <w:r w:rsidRPr="008D70F0">
              <w:rPr>
                <w:rFonts w:asciiTheme="minorHAnsi" w:hAnsiTheme="minorHAnsi"/>
                <w:sz w:val="24"/>
                <w:szCs w:val="24"/>
              </w:rPr>
              <w:t xml:space="preserve"> </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the U.S.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14</w:t>
            </w:r>
          </w:p>
        </w:tc>
        <w:tc>
          <w:tcPr>
            <w:tcW w:w="1638" w:type="dxa"/>
            <w:vAlign w:val="center"/>
          </w:tcPr>
          <w:p w:rsidR="00481431" w:rsidRPr="00481431" w:rsidRDefault="00BB1BA0"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the U.S.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34</w:t>
            </w:r>
          </w:p>
        </w:tc>
        <w:tc>
          <w:tcPr>
            <w:tcW w:w="1638" w:type="dxa"/>
            <w:vAlign w:val="center"/>
          </w:tcPr>
          <w:p w:rsidR="00481431" w:rsidRPr="00481431" w:rsidRDefault="00BB1BA0" w:rsidP="002F176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0912" behindDoc="0" locked="0" layoutInCell="1" allowOverlap="1" wp14:anchorId="0CB254DD" wp14:editId="306E4D72">
                      <wp:simplePos x="0" y="0"/>
                      <wp:positionH relativeFrom="column">
                        <wp:posOffset>290195</wp:posOffset>
                      </wp:positionH>
                      <wp:positionV relativeFrom="paragraph">
                        <wp:posOffset>-40005</wp:posOffset>
                      </wp:positionV>
                      <wp:extent cx="190500" cy="281305"/>
                      <wp:effectExtent l="0" t="0" r="0" b="444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2.85pt;margin-top:-3.15pt;width:15pt;height:2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 xml:space="preserve">1% </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Middle Tennessee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BB1BA0"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42</w:t>
            </w:r>
          </w:p>
        </w:tc>
        <w:tc>
          <w:tcPr>
            <w:tcW w:w="1638" w:type="dxa"/>
            <w:vAlign w:val="center"/>
          </w:tcPr>
          <w:p w:rsidR="00481431" w:rsidRPr="00481431" w:rsidRDefault="00BB1BA0"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2960" behindDoc="0" locked="0" layoutInCell="1" allowOverlap="1" wp14:anchorId="20978725" wp14:editId="702868EF">
                      <wp:simplePos x="0" y="0"/>
                      <wp:positionH relativeFrom="column">
                        <wp:posOffset>295910</wp:posOffset>
                      </wp:positionH>
                      <wp:positionV relativeFrom="paragraph">
                        <wp:posOffset>-55245</wp:posOffset>
                      </wp:positionV>
                      <wp:extent cx="178435" cy="281305"/>
                      <wp:effectExtent l="0" t="0" r="0" b="444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3pt;margin-top:-4.35pt;width:14.05pt;height:2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Ot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0pMazD&#10;Ht0eAqTQpMBH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" fillcolor="#00b050" stroked="f"/>
                  </w:pict>
                </mc:Fallback>
              </mc:AlternateContent>
            </w:r>
            <w:r>
              <w:rPr>
                <w:rFonts w:asciiTheme="minorHAnsi" w:hAnsiTheme="minorHAnsi"/>
                <w:b/>
                <w:sz w:val="24"/>
                <w:szCs w:val="24"/>
              </w:rPr>
              <w:t>7</w:t>
            </w:r>
            <w:r w:rsidR="00481431" w:rsidRPr="00481431">
              <w:rPr>
                <w:rFonts w:asciiTheme="minorHAnsi" w:hAnsiTheme="minorHAnsi"/>
                <w:b/>
                <w:sz w:val="24"/>
                <w:szCs w:val="24"/>
              </w:rPr>
              <w:t>%</w:t>
            </w:r>
          </w:p>
        </w:tc>
      </w:tr>
      <w:tr w:rsidR="00481431" w:rsidRPr="00A16353" w:rsidTr="006C4756">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Middle Tennessee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36</w:t>
            </w:r>
          </w:p>
        </w:tc>
        <w:tc>
          <w:tcPr>
            <w:tcW w:w="1638" w:type="dxa"/>
            <w:vAlign w:val="center"/>
          </w:tcPr>
          <w:p w:rsidR="00481431" w:rsidRPr="00481431" w:rsidRDefault="00BB1BA0" w:rsidP="00BB1BA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Jobs in Middle Tennessee are </w:t>
            </w:r>
            <w:r w:rsidRPr="00481431">
              <w:rPr>
                <w:rFonts w:asciiTheme="minorHAnsi" w:hAnsiTheme="minorHAnsi"/>
                <w:sz w:val="16"/>
                <w:szCs w:val="16"/>
                <w:u w:val="single"/>
              </w:rPr>
              <w:t>Easy To Find</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5</w:t>
            </w:r>
          </w:p>
        </w:tc>
        <w:tc>
          <w:tcPr>
            <w:tcW w:w="1638" w:type="dxa"/>
            <w:vAlign w:val="center"/>
          </w:tcPr>
          <w:p w:rsidR="00481431" w:rsidRPr="00481431" w:rsidRDefault="00BB1BA0"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8384" behindDoc="0" locked="0" layoutInCell="1" allowOverlap="1" wp14:anchorId="67E461B8" wp14:editId="3F85AD5B">
                      <wp:simplePos x="0" y="0"/>
                      <wp:positionH relativeFrom="column">
                        <wp:posOffset>320040</wp:posOffset>
                      </wp:positionH>
                      <wp:positionV relativeFrom="paragraph">
                        <wp:posOffset>-34290</wp:posOffset>
                      </wp:positionV>
                      <wp:extent cx="190500" cy="281305"/>
                      <wp:effectExtent l="0" t="0" r="0" b="444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2pt;margin-top:-2.7pt;width:1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pvbwMAAGk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there will be </w:t>
            </w:r>
            <w:r w:rsidRPr="00481431">
              <w:rPr>
                <w:rFonts w:asciiTheme="minorHAnsi" w:hAnsiTheme="minorHAnsi"/>
                <w:sz w:val="16"/>
                <w:szCs w:val="16"/>
                <w:u w:val="single"/>
              </w:rPr>
              <w:t>More Job Openings</w:t>
            </w:r>
            <w:r w:rsidRPr="00481431">
              <w:rPr>
                <w:rFonts w:asciiTheme="minorHAnsi" w:hAnsiTheme="minorHAnsi"/>
                <w:sz w:val="16"/>
                <w:szCs w:val="16"/>
              </w:rPr>
              <w:t xml:space="preserve"> in Middle Tennessee</w:t>
            </w:r>
          </w:p>
        </w:tc>
        <w:tc>
          <w:tcPr>
            <w:tcW w:w="1440" w:type="dxa"/>
            <w:vAlign w:val="center"/>
          </w:tcPr>
          <w:p w:rsidR="00481431" w:rsidRPr="00481431" w:rsidRDefault="00BB1BA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34</w:t>
            </w:r>
          </w:p>
        </w:tc>
        <w:tc>
          <w:tcPr>
            <w:tcW w:w="1638" w:type="dxa"/>
            <w:vAlign w:val="center"/>
          </w:tcPr>
          <w:p w:rsidR="00481431" w:rsidRPr="00481431" w:rsidRDefault="00BB1BA0"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5008" behindDoc="0" locked="0" layoutInCell="1" allowOverlap="1" wp14:anchorId="1E484870" wp14:editId="560FBC70">
                      <wp:simplePos x="0" y="0"/>
                      <wp:positionH relativeFrom="column">
                        <wp:posOffset>334010</wp:posOffset>
                      </wp:positionH>
                      <wp:positionV relativeFrom="paragraph">
                        <wp:posOffset>112395</wp:posOffset>
                      </wp:positionV>
                      <wp:extent cx="178435" cy="281305"/>
                      <wp:effectExtent l="0" t="0" r="0" b="4445"/>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pt;margin-top:8.85pt;width:14.05pt;height:2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" fillcolor="#00b050" stroked="f"/>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BB1BA0">
              <w:rPr>
                <w:rFonts w:asciiTheme="minorHAnsi" w:hAnsiTheme="minorHAnsi"/>
                <w:b/>
                <w:sz w:val="24"/>
                <w:szCs w:val="24"/>
              </w:rPr>
              <w:t>1</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I am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was one year ago.</w:t>
            </w:r>
          </w:p>
        </w:tc>
        <w:tc>
          <w:tcPr>
            <w:tcW w:w="1440" w:type="dxa"/>
            <w:vAlign w:val="center"/>
          </w:tcPr>
          <w:p w:rsidR="00481431" w:rsidRPr="00481431" w:rsidRDefault="00BB1BA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17</w:t>
            </w:r>
          </w:p>
        </w:tc>
        <w:tc>
          <w:tcPr>
            <w:tcW w:w="1638" w:type="dxa"/>
            <w:vAlign w:val="center"/>
          </w:tcPr>
          <w:p w:rsidR="00481431" w:rsidRPr="00481431" w:rsidRDefault="002F176B" w:rsidP="002F176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4768" behindDoc="0" locked="0" layoutInCell="1" allowOverlap="1" wp14:anchorId="7103ABB9" wp14:editId="34DFBFFC">
                      <wp:simplePos x="0" y="0"/>
                      <wp:positionH relativeFrom="column">
                        <wp:posOffset>323215</wp:posOffset>
                      </wp:positionH>
                      <wp:positionV relativeFrom="paragraph">
                        <wp:posOffset>-55245</wp:posOffset>
                      </wp:positionV>
                      <wp:extent cx="190500" cy="281305"/>
                      <wp:effectExtent l="0" t="0" r="0" b="4445"/>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45pt;margin-top:-4.35pt;width:15pt;height:22.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10bw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12 months from now I will be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am today.</w:t>
            </w:r>
          </w:p>
        </w:tc>
        <w:tc>
          <w:tcPr>
            <w:tcW w:w="1440" w:type="dxa"/>
            <w:vAlign w:val="center"/>
          </w:tcPr>
          <w:p w:rsidR="00481431" w:rsidRPr="00481431" w:rsidRDefault="00BB1BA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638" w:type="dxa"/>
            <w:vAlign w:val="center"/>
          </w:tcPr>
          <w:p w:rsidR="00481431" w:rsidRPr="00481431" w:rsidRDefault="00BB1BA0" w:rsidP="00BB1BA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7056" behindDoc="0" locked="0" layoutInCell="1" allowOverlap="1" wp14:anchorId="2E303190" wp14:editId="09EA3157">
                      <wp:simplePos x="0" y="0"/>
                      <wp:positionH relativeFrom="column">
                        <wp:posOffset>343535</wp:posOffset>
                      </wp:positionH>
                      <wp:positionV relativeFrom="paragraph">
                        <wp:posOffset>-61595</wp:posOffset>
                      </wp:positionV>
                      <wp:extent cx="178435" cy="281305"/>
                      <wp:effectExtent l="0" t="0" r="0" b="444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05pt;margin-top:-4.85pt;width:14.05pt;height:22.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5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" fillcolor="#00b050" stroked="f"/>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Make Large Purchases</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28</w:t>
            </w:r>
          </w:p>
        </w:tc>
        <w:tc>
          <w:tcPr>
            <w:tcW w:w="1638" w:type="dxa"/>
            <w:vAlign w:val="center"/>
          </w:tcPr>
          <w:p w:rsidR="00481431" w:rsidRPr="00481431" w:rsidRDefault="007A3F43"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46816" behindDoc="0" locked="0" layoutInCell="1" allowOverlap="1" wp14:anchorId="776CA11A" wp14:editId="1D6D4B7F">
                      <wp:simplePos x="0" y="0"/>
                      <wp:positionH relativeFrom="column">
                        <wp:posOffset>333375</wp:posOffset>
                      </wp:positionH>
                      <wp:positionV relativeFrom="paragraph">
                        <wp:posOffset>-44450</wp:posOffset>
                      </wp:positionV>
                      <wp:extent cx="190500" cy="281305"/>
                      <wp:effectExtent l="0" t="0" r="0" b="444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25pt;margin-top:-3.5pt;width:15pt;height:22.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sidR="00BB1BA0">
              <w:rPr>
                <w:rFonts w:asciiTheme="minorHAnsi" w:hAnsiTheme="minorHAnsi"/>
                <w:b/>
                <w:sz w:val="24"/>
                <w:szCs w:val="24"/>
              </w:rPr>
              <w:t>3</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Home</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67</w:t>
            </w:r>
          </w:p>
        </w:tc>
        <w:tc>
          <w:tcPr>
            <w:tcW w:w="1638" w:type="dxa"/>
            <w:vAlign w:val="center"/>
          </w:tcPr>
          <w:p w:rsidR="00481431" w:rsidRPr="00481431" w:rsidRDefault="00BB1BA0" w:rsidP="00BB1BA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9104" behindDoc="0" locked="0" layoutInCell="1" allowOverlap="1" wp14:anchorId="2E303190" wp14:editId="09EA3157">
                      <wp:simplePos x="0" y="0"/>
                      <wp:positionH relativeFrom="column">
                        <wp:posOffset>343535</wp:posOffset>
                      </wp:positionH>
                      <wp:positionV relativeFrom="paragraph">
                        <wp:posOffset>-80645</wp:posOffset>
                      </wp:positionV>
                      <wp:extent cx="178435" cy="281305"/>
                      <wp:effectExtent l="0" t="0" r="0" b="444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05pt;margin-top:-6.35pt;width:14.05pt;height:22.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eP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" fillcolor="#00b050" stroked="f"/>
                  </w:pict>
                </mc:Fallback>
              </mc:AlternateContent>
            </w:r>
            <w:r>
              <w:rPr>
                <w:rFonts w:asciiTheme="minorHAnsi" w:hAnsiTheme="minorHAnsi"/>
                <w:b/>
                <w:sz w:val="24"/>
                <w:szCs w:val="24"/>
              </w:rPr>
              <w:t>5</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Car</w:t>
            </w:r>
            <w:r w:rsidRPr="00481431">
              <w:rPr>
                <w:rFonts w:asciiTheme="minorHAnsi" w:hAnsiTheme="minorHAnsi"/>
                <w:sz w:val="16"/>
                <w:szCs w:val="16"/>
              </w:rPr>
              <w:t>.</w:t>
            </w:r>
          </w:p>
        </w:tc>
        <w:tc>
          <w:tcPr>
            <w:tcW w:w="1440" w:type="dxa"/>
            <w:vAlign w:val="center"/>
          </w:tcPr>
          <w:p w:rsidR="00481431" w:rsidRPr="00481431" w:rsidRDefault="00BB1BA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638" w:type="dxa"/>
            <w:vAlign w:val="center"/>
          </w:tcPr>
          <w:p w:rsidR="00BB1BA0" w:rsidRDefault="00BB1BA0" w:rsidP="007A3F4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 xml:space="preserve">No </w:t>
            </w:r>
          </w:p>
          <w:p w:rsidR="00481431" w:rsidRPr="00481431" w:rsidRDefault="00BB1BA0"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Change</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748" w:type="dxa"/>
        <w:tblLook w:val="04A0" w:firstRow="1" w:lastRow="0" w:firstColumn="1" w:lastColumn="0" w:noHBand="0" w:noVBand="1"/>
      </w:tblPr>
      <w:tblGrid>
        <w:gridCol w:w="1910"/>
        <w:gridCol w:w="1113"/>
        <w:gridCol w:w="528"/>
        <w:gridCol w:w="528"/>
        <w:gridCol w:w="528"/>
        <w:gridCol w:w="563"/>
        <w:gridCol w:w="528"/>
        <w:gridCol w:w="528"/>
        <w:gridCol w:w="528"/>
        <w:gridCol w:w="563"/>
        <w:gridCol w:w="594"/>
        <w:gridCol w:w="837"/>
      </w:tblGrid>
      <w:tr w:rsidR="006E7732" w:rsidRPr="00546A3A" w:rsidTr="006E773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0" w:type="dxa"/>
            <w:noWrap/>
            <w:vAlign w:val="center"/>
            <w:hideMark/>
          </w:tcPr>
          <w:p w:rsidR="006E7732" w:rsidRPr="00F736A9" w:rsidRDefault="006E7732"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Feb</w:t>
            </w: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May</w:t>
            </w:r>
          </w:p>
        </w:tc>
        <w:tc>
          <w:tcPr>
            <w:tcW w:w="563"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528"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63" w:type="dxa"/>
            <w:vAlign w:val="center"/>
          </w:tcPr>
          <w:p w:rsidR="006E7732" w:rsidRPr="00546A3A"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94" w:type="dxa"/>
            <w:vAlign w:val="center"/>
          </w:tcPr>
          <w:p w:rsidR="006E7732" w:rsidRPr="004C6631"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837" w:type="dxa"/>
            <w:noWrap/>
            <w:vAlign w:val="center"/>
          </w:tcPr>
          <w:p w:rsidR="006E7732" w:rsidRDefault="006E773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bCs w:val="0"/>
              </w:rPr>
              <w:t>Jan</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vAlign w:val="bottom"/>
            <w:hideMark/>
          </w:tcPr>
          <w:p w:rsidR="006E7732" w:rsidRPr="00F736A9" w:rsidRDefault="006E7732" w:rsidP="00546A3A">
            <w:pPr>
              <w:jc w:val="center"/>
              <w:rPr>
                <w:rFonts w:ascii="Arial" w:hAnsi="Arial" w:cs="Arial"/>
                <w:sz w:val="18"/>
                <w:szCs w:val="18"/>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63"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28"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63" w:type="dxa"/>
            <w:tcBorders>
              <w:bottom w:val="nil"/>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94" w:type="dxa"/>
            <w:tcBorders>
              <w:bottom w:val="nil"/>
            </w:tcBorders>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837" w:type="dxa"/>
            <w:tcBorders>
              <w:bottom w:val="nil"/>
            </w:tcBorders>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94" w:type="dxa"/>
            <w:tcBorders>
              <w:top w:val="nil"/>
              <w:bottom w:val="single" w:sz="4" w:space="0" w:color="auto"/>
            </w:tcBorders>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837" w:type="dxa"/>
            <w:tcBorders>
              <w:top w:val="nil"/>
              <w:bottom w:val="single" w:sz="4" w:space="0" w:color="auto"/>
            </w:tcBorders>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tcBorders>
              <w:top w:val="single" w:sz="4" w:space="0" w:color="auto"/>
            </w:tcBorders>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94" w:type="dxa"/>
            <w:tcBorders>
              <w:top w:val="single" w:sz="4" w:space="0" w:color="auto"/>
            </w:tcBorders>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837" w:type="dxa"/>
            <w:tcBorders>
              <w:top w:val="single" w:sz="4" w:space="0" w:color="auto"/>
            </w:tcBorders>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14</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62</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34</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41</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22</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42</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48</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8</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36</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52</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10</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34</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49</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26</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14</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28</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20</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61</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15</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37</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40</w:t>
            </w:r>
          </w:p>
        </w:tc>
      </w:tr>
      <w:tr w:rsidR="006E7732" w:rsidRPr="00546A3A" w:rsidTr="006E7732">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6E7732" w:rsidRPr="00546A3A" w:rsidRDefault="006E7732" w:rsidP="007C47FE">
            <w:pPr>
              <w:rPr>
                <w:rFonts w:ascii="Arial" w:hAnsi="Arial" w:cs="Arial"/>
                <w:sz w:val="16"/>
                <w:szCs w:val="16"/>
              </w:rPr>
            </w:pPr>
          </w:p>
        </w:tc>
        <w:tc>
          <w:tcPr>
            <w:tcW w:w="1113" w:type="dxa"/>
            <w:shd w:val="clear" w:color="auto" w:fill="EEECE1" w:themeFill="background2"/>
            <w:noWrap/>
            <w:vAlign w:val="center"/>
            <w:hideMark/>
          </w:tcPr>
          <w:p w:rsidR="006E7732" w:rsidRPr="00546A3A"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6E7732" w:rsidRPr="00DA5B64"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94" w:type="dxa"/>
            <w:shd w:val="clear" w:color="auto" w:fill="EEECE1" w:themeFill="background2"/>
            <w:vAlign w:val="center"/>
          </w:tcPr>
          <w:p w:rsidR="006E7732" w:rsidRPr="004C6631"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837" w:type="dxa"/>
            <w:shd w:val="clear" w:color="auto" w:fill="EEECE1" w:themeFill="background2"/>
            <w:noWrap/>
            <w:vAlign w:val="center"/>
          </w:tcPr>
          <w:p w:rsidR="006E7732" w:rsidRDefault="006E773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17</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48745E"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967677">
        <w:rPr>
          <w:rFonts w:asciiTheme="minorHAnsi" w:hAnsiTheme="minorHAnsi"/>
          <w:bCs/>
          <w:sz w:val="24"/>
        </w:rPr>
        <w:t>Consumers continue to fear higher taxes now, and in the future.  Increas</w:t>
      </w:r>
      <w:r w:rsidR="00655986">
        <w:rPr>
          <w:rFonts w:asciiTheme="minorHAnsi" w:hAnsiTheme="minorHAnsi"/>
          <w:bCs/>
          <w:sz w:val="24"/>
        </w:rPr>
        <w:t>ing</w:t>
      </w:r>
      <w:r w:rsidR="00967677">
        <w:rPr>
          <w:rFonts w:asciiTheme="minorHAnsi" w:hAnsiTheme="minorHAnsi"/>
          <w:bCs/>
          <w:sz w:val="24"/>
        </w:rPr>
        <w:t xml:space="preserve"> taxes </w:t>
      </w:r>
      <w:r w:rsidR="00655986">
        <w:rPr>
          <w:rFonts w:asciiTheme="minorHAnsi" w:hAnsiTheme="minorHAnsi"/>
          <w:bCs/>
          <w:sz w:val="24"/>
        </w:rPr>
        <w:t>m</w:t>
      </w:r>
      <w:r w:rsidR="00967677">
        <w:rPr>
          <w:rFonts w:asciiTheme="minorHAnsi" w:hAnsiTheme="minorHAnsi"/>
          <w:bCs/>
          <w:sz w:val="24"/>
        </w:rPr>
        <w:t>eans less money available for discretionary spending.</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4994031" cy="2572378"/>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2498" w:rsidRDefault="00E22498" w:rsidP="00527F2A">
      <w:pPr>
        <w:rPr>
          <w:rFonts w:asciiTheme="minorHAnsi" w:hAnsiTheme="minorHAnsi"/>
          <w:b/>
          <w:bCs/>
          <w:sz w:val="24"/>
          <w:u w:val="single"/>
        </w:rPr>
      </w:pPr>
    </w:p>
    <w:p w:rsidR="00527F2A"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E20EF5">
        <w:rPr>
          <w:rFonts w:asciiTheme="minorHAnsi" w:hAnsiTheme="minorHAnsi"/>
          <w:bCs/>
          <w:sz w:val="24"/>
        </w:rPr>
        <w:t xml:space="preserve">A rising </w:t>
      </w:r>
      <w:r w:rsidR="007044AA">
        <w:rPr>
          <w:rFonts w:asciiTheme="minorHAnsi" w:hAnsiTheme="minorHAnsi"/>
          <w:bCs/>
          <w:sz w:val="24"/>
        </w:rPr>
        <w:t xml:space="preserve">U.S. stock market </w:t>
      </w:r>
      <w:r w:rsidR="00E20EF5">
        <w:rPr>
          <w:rFonts w:asciiTheme="minorHAnsi" w:hAnsiTheme="minorHAnsi"/>
          <w:bCs/>
          <w:sz w:val="24"/>
        </w:rPr>
        <w:t xml:space="preserve">can give </w:t>
      </w:r>
      <w:r w:rsidR="007044AA">
        <w:rPr>
          <w:rFonts w:asciiTheme="minorHAnsi" w:hAnsiTheme="minorHAnsi"/>
          <w:bCs/>
          <w:sz w:val="24"/>
        </w:rPr>
        <w:t xml:space="preserve">consumers a greater feeling of wealth as their investments and savings grow.  </w:t>
      </w:r>
      <w:r w:rsidR="00967677">
        <w:rPr>
          <w:rFonts w:asciiTheme="minorHAnsi" w:hAnsiTheme="minorHAnsi"/>
          <w:bCs/>
          <w:sz w:val="24"/>
        </w:rPr>
        <w:t>The percent of consumers who expect the stock market to increase remained relatively unchanged.  However, fewer consumers expect the stock market to decrease in value over the next 12 months.</w:t>
      </w:r>
      <w:r w:rsidR="00E20EF5">
        <w:rPr>
          <w:rFonts w:asciiTheme="minorHAnsi" w:hAnsiTheme="minorHAnsi"/>
          <w:bCs/>
          <w:sz w:val="24"/>
        </w:rPr>
        <w:t xml:space="preserve">  </w:t>
      </w:r>
    </w:p>
    <w:p w:rsidR="00CA0D29" w:rsidRDefault="00CA0D29"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755341" cy="2649071"/>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D29" w:rsidRDefault="00CA0D29" w:rsidP="00F85ECC">
      <w:pPr>
        <w:rPr>
          <w:rFonts w:asciiTheme="minorHAnsi" w:hAnsiTheme="minorHAnsi"/>
          <w:b/>
          <w:bCs/>
          <w:sz w:val="24"/>
          <w:u w:val="single"/>
        </w:rPr>
      </w:pPr>
    </w:p>
    <w:p w:rsidR="00480D3A" w:rsidRPr="00CA0D29" w:rsidRDefault="00AA5AD3" w:rsidP="00F85ECC">
      <w:pPr>
        <w:rPr>
          <w:rFonts w:asciiTheme="minorHAnsi" w:hAnsiTheme="minorHAnsi"/>
          <w:b/>
          <w:bCs/>
          <w:sz w:val="28"/>
          <w:szCs w:val="28"/>
          <w:u w:val="single"/>
        </w:rPr>
      </w:pPr>
      <w:r w:rsidRPr="00CA0D29">
        <w:rPr>
          <w:rFonts w:asciiTheme="minorHAnsi" w:hAnsiTheme="minorHAnsi"/>
          <w:b/>
          <w:bCs/>
          <w:sz w:val="28"/>
          <w:szCs w:val="28"/>
          <w:u w:val="single"/>
        </w:rPr>
        <w:lastRenderedPageBreak/>
        <w:t>Consumer Saving</w:t>
      </w:r>
    </w:p>
    <w:p w:rsidR="00480D3A" w:rsidRPr="00A16353" w:rsidRDefault="00480D3A" w:rsidP="00F85ECC">
      <w:pPr>
        <w:rPr>
          <w:rFonts w:asciiTheme="minorHAnsi" w:hAnsiTheme="minorHAnsi"/>
          <w:bCs/>
          <w:sz w:val="24"/>
        </w:rPr>
      </w:pPr>
    </w:p>
    <w:p w:rsidR="009C3D59" w:rsidRPr="00A16353" w:rsidRDefault="00480D3A" w:rsidP="00B8681A">
      <w:pPr>
        <w:jc w:val="both"/>
        <w:rPr>
          <w:rFonts w:asciiTheme="minorHAnsi" w:hAnsiTheme="minorHAnsi"/>
          <w:bCs/>
          <w:sz w:val="24"/>
        </w:rPr>
      </w:pPr>
      <w:r w:rsidRPr="00A16353">
        <w:rPr>
          <w:rFonts w:asciiTheme="minorHAnsi" w:hAnsiTheme="minorHAnsi"/>
          <w:bCs/>
          <w:sz w:val="24"/>
        </w:rPr>
        <w:t xml:space="preserve">     </w:t>
      </w:r>
      <w:r w:rsidR="00967677">
        <w:rPr>
          <w:rFonts w:asciiTheme="minorHAnsi" w:hAnsiTheme="minorHAnsi"/>
          <w:bCs/>
          <w:sz w:val="24"/>
        </w:rPr>
        <w:t xml:space="preserve">The fear of higher taxes seems to be having a negative effect on consumers’ ability to save money and their expectations for saving money in the future.  </w:t>
      </w:r>
    </w:p>
    <w:p w:rsidR="009C3D59" w:rsidRPr="00A16353" w:rsidRDefault="009C3D59" w:rsidP="00F85ECC">
      <w:pPr>
        <w:rPr>
          <w:rFonts w:asciiTheme="minorHAnsi" w:hAnsiTheme="minorHAnsi"/>
          <w:bCs/>
          <w:sz w:val="24"/>
        </w:rPr>
      </w:pPr>
    </w:p>
    <w:p w:rsidR="00480D3A" w:rsidRPr="00480D3A" w:rsidRDefault="00847832" w:rsidP="009B0620">
      <w:pPr>
        <w:jc w:val="center"/>
        <w:rPr>
          <w:bCs/>
          <w:sz w:val="24"/>
        </w:rPr>
      </w:pPr>
      <w:r>
        <w:rPr>
          <w:noProof/>
          <w:sz w:val="24"/>
        </w:rPr>
        <w:drawing>
          <wp:inline distT="0" distB="0" distL="0" distR="0" wp14:anchorId="5EF58269" wp14:editId="0B98D096">
            <wp:extent cx="5466303" cy="2491992"/>
            <wp:effectExtent l="0" t="0" r="1270" b="381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796" w:rsidRDefault="00A67796" w:rsidP="00FC0474">
      <w:pPr>
        <w:rPr>
          <w:rFonts w:asciiTheme="minorHAnsi" w:hAnsiTheme="minorHAnsi"/>
          <w:bCs/>
          <w:sz w:val="24"/>
        </w:rPr>
      </w:pPr>
    </w:p>
    <w:p w:rsidR="009F27C3" w:rsidRDefault="009F27C3" w:rsidP="00FC0474">
      <w:pPr>
        <w:rPr>
          <w:rFonts w:asciiTheme="minorHAnsi" w:hAnsiTheme="minorHAnsi"/>
          <w:bCs/>
          <w:sz w:val="24"/>
        </w:rPr>
      </w:pPr>
    </w:p>
    <w:p w:rsidR="009F27C3" w:rsidRDefault="009F27C3" w:rsidP="00FC0474">
      <w:pPr>
        <w:rPr>
          <w:rFonts w:asciiTheme="minorHAnsi" w:hAnsiTheme="minorHAnsi"/>
          <w:bCs/>
          <w:sz w:val="24"/>
        </w:rPr>
      </w:pPr>
    </w:p>
    <w:p w:rsidR="009B0620" w:rsidRPr="00EE16F1" w:rsidRDefault="009B0620" w:rsidP="00F85ECC">
      <w:pPr>
        <w:rPr>
          <w:bCs/>
          <w:sz w:val="24"/>
        </w:rPr>
      </w:pPr>
    </w:p>
    <w:p w:rsidR="002273AC" w:rsidRPr="002273AC" w:rsidRDefault="00847832" w:rsidP="00301E61">
      <w:pPr>
        <w:jc w:val="center"/>
        <w:rPr>
          <w:bCs/>
          <w:sz w:val="24"/>
        </w:rPr>
      </w:pPr>
      <w:r>
        <w:rPr>
          <w:noProof/>
          <w:sz w:val="24"/>
        </w:rPr>
        <w:drawing>
          <wp:inline distT="0" distB="0" distL="0" distR="0" wp14:anchorId="27AA5C9E" wp14:editId="4DAFCFCC">
            <wp:extent cx="5446207" cy="3034602"/>
            <wp:effectExtent l="0" t="0" r="2540" b="0"/>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959" w:rsidRPr="008D1959" w:rsidRDefault="009F27C3" w:rsidP="008D1959">
      <w:pPr>
        <w:pStyle w:val="BodyText"/>
        <w:jc w:val="both"/>
        <w:rPr>
          <w:rFonts w:asciiTheme="minorHAnsi" w:hAnsiTheme="minorHAnsi"/>
          <w:b/>
          <w:bCs/>
          <w:sz w:val="28"/>
          <w:szCs w:val="28"/>
          <w:u w:val="single"/>
        </w:rPr>
      </w:pPr>
      <w:r>
        <w:rPr>
          <w:rFonts w:asciiTheme="minorHAnsi" w:hAnsiTheme="minorHAnsi"/>
          <w:b/>
          <w:bCs/>
          <w:sz w:val="28"/>
          <w:szCs w:val="28"/>
          <w:u w:val="single"/>
        </w:rPr>
        <w:br w:type="column"/>
      </w:r>
      <w:r w:rsidR="008D1959" w:rsidRPr="008D1959">
        <w:rPr>
          <w:rFonts w:asciiTheme="minorHAnsi" w:hAnsiTheme="minorHAnsi"/>
          <w:b/>
          <w:bCs/>
          <w:sz w:val="28"/>
          <w:szCs w:val="28"/>
          <w:u w:val="single"/>
        </w:rPr>
        <w:lastRenderedPageBreak/>
        <w:t>Annual Consumer Spending</w:t>
      </w:r>
    </w:p>
    <w:p w:rsidR="008D1959" w:rsidRPr="00A16353" w:rsidRDefault="008D1959" w:rsidP="008D1959">
      <w:pPr>
        <w:pStyle w:val="BodyText"/>
        <w:jc w:val="both"/>
        <w:rPr>
          <w:rFonts w:asciiTheme="minorHAnsi" w:hAnsiTheme="minorHAnsi"/>
          <w:bCs/>
        </w:rPr>
      </w:pPr>
    </w:p>
    <w:p w:rsidR="008D1959" w:rsidRDefault="007C47FE" w:rsidP="008D1959">
      <w:pPr>
        <w:pStyle w:val="BodyText"/>
        <w:jc w:val="both"/>
        <w:rPr>
          <w:rFonts w:asciiTheme="minorHAnsi" w:hAnsiTheme="minorHAnsi"/>
          <w:bCs/>
        </w:rPr>
      </w:pPr>
      <w:r>
        <w:rPr>
          <w:rFonts w:asciiTheme="minorHAnsi" w:hAnsiTheme="minorHAnsi"/>
          <w:bCs/>
        </w:rPr>
        <w:t xml:space="preserve">     </w:t>
      </w:r>
      <w:r w:rsidR="00967677">
        <w:rPr>
          <w:rFonts w:asciiTheme="minorHAnsi" w:hAnsiTheme="minorHAnsi"/>
          <w:bCs/>
        </w:rPr>
        <w:t>An increase in consumers’ outlook on the economy is often seen as a precursor to increased consumer spending.  However, the effects of higher taxes and continued uneasiness regarding the job market might actually be having a negative effect on consumers</w:t>
      </w:r>
      <w:r w:rsidR="008646AF">
        <w:rPr>
          <w:rFonts w:asciiTheme="minorHAnsi" w:hAnsiTheme="minorHAnsi"/>
          <w:bCs/>
        </w:rPr>
        <w:t>’</w:t>
      </w:r>
      <w:bookmarkStart w:id="0" w:name="_GoBack"/>
      <w:bookmarkEnd w:id="0"/>
      <w:r w:rsidR="00967677">
        <w:rPr>
          <w:rFonts w:asciiTheme="minorHAnsi" w:hAnsiTheme="minorHAnsi"/>
          <w:bCs/>
        </w:rPr>
        <w:t xml:space="preserve"> spending.  </w:t>
      </w:r>
      <w:r w:rsidR="003F041F">
        <w:rPr>
          <w:rFonts w:asciiTheme="minorHAnsi" w:hAnsiTheme="minorHAnsi"/>
          <w:bCs/>
        </w:rPr>
        <w:t xml:space="preserve">Even though consumers might expect the economy to improve in the future, their ability to spend and save are being hindered by higher taxes.  </w:t>
      </w:r>
    </w:p>
    <w:p w:rsidR="008D1959" w:rsidRDefault="008D1959" w:rsidP="008D1959">
      <w:pPr>
        <w:pStyle w:val="BodyText"/>
        <w:jc w:val="both"/>
        <w:rPr>
          <w:rFonts w:asciiTheme="minorHAnsi" w:hAnsiTheme="minorHAnsi"/>
          <w:bCs/>
        </w:rPr>
      </w:pPr>
    </w:p>
    <w:p w:rsidR="008D1959" w:rsidRDefault="008D1959" w:rsidP="008D1959">
      <w:pPr>
        <w:pStyle w:val="BodyText"/>
        <w:jc w:val="center"/>
        <w:rPr>
          <w:bCs/>
        </w:rPr>
      </w:pPr>
    </w:p>
    <w:p w:rsidR="008D1959" w:rsidRDefault="008D1959" w:rsidP="008D1959">
      <w:pPr>
        <w:pStyle w:val="BodyText"/>
        <w:jc w:val="center"/>
        <w:rPr>
          <w:bCs/>
        </w:rPr>
      </w:pPr>
      <w:r>
        <w:rPr>
          <w:noProof/>
        </w:rPr>
        <w:drawing>
          <wp:inline distT="0" distB="0" distL="0" distR="0" wp14:anchorId="79C07CD3" wp14:editId="6881AD1A">
            <wp:extent cx="5325626" cy="2441750"/>
            <wp:effectExtent l="0" t="0" r="889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959" w:rsidRDefault="008D1959" w:rsidP="008D1959">
      <w:pPr>
        <w:pStyle w:val="BodyText"/>
        <w:jc w:val="both"/>
        <w:rPr>
          <w:rFonts w:asciiTheme="minorHAnsi" w:hAnsiTheme="minorHAnsi"/>
          <w:bCs/>
        </w:rPr>
      </w:pPr>
      <w:r>
        <w:rPr>
          <w:rFonts w:asciiTheme="minorHAnsi" w:hAnsiTheme="minorHAnsi"/>
          <w:bCs/>
        </w:rPr>
        <w:t xml:space="preserve">    </w:t>
      </w:r>
    </w:p>
    <w:p w:rsidR="00D51D6B" w:rsidRPr="000D12D0" w:rsidRDefault="00D51D6B" w:rsidP="00D51D6B">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w:t>
      </w:r>
      <w:r w:rsidR="00D96C1F" w:rsidRPr="000D12D0">
        <w:rPr>
          <w:rFonts w:asciiTheme="minorHAnsi" w:hAnsiTheme="minorHAnsi"/>
          <w:b/>
          <w:bCs/>
          <w:sz w:val="28"/>
          <w:szCs w:val="28"/>
          <w:u w:val="single"/>
        </w:rPr>
        <w:t>t</w:t>
      </w:r>
      <w:r w:rsidRPr="000D12D0">
        <w:rPr>
          <w:rFonts w:asciiTheme="minorHAnsi" w:hAnsiTheme="minorHAnsi"/>
          <w:b/>
          <w:bCs/>
          <w:sz w:val="28"/>
          <w:szCs w:val="28"/>
          <w:u w:val="single"/>
        </w:rPr>
        <w:t xml:space="preserve">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Compared to consumers across the country as a whole, local consumers have traditionally held more positive perceptions of the economy.  </w:t>
      </w:r>
      <w:r w:rsidR="000D12D0">
        <w:rPr>
          <w:rFonts w:asciiTheme="minorHAnsi" w:hAnsiTheme="minorHAnsi"/>
        </w:rPr>
        <w:t>L</w:t>
      </w:r>
      <w:r w:rsidRPr="00A16353">
        <w:rPr>
          <w:rFonts w:asciiTheme="minorHAnsi" w:hAnsiTheme="minorHAnsi"/>
        </w:rPr>
        <w:t xml:space="preserve">ocal consumers are </w:t>
      </w:r>
      <w:r w:rsidR="00955190">
        <w:rPr>
          <w:rFonts w:asciiTheme="minorHAnsi" w:hAnsiTheme="minorHAnsi"/>
        </w:rPr>
        <w:t xml:space="preserve">comparatively </w:t>
      </w:r>
      <w:r w:rsidRPr="00A16353">
        <w:rPr>
          <w:rFonts w:asciiTheme="minorHAnsi" w:hAnsiTheme="minorHAnsi"/>
        </w:rPr>
        <w:t xml:space="preserve">more optimistic about the future of the American economy, are more optimistic about the future of the job market, and are more optimistic about their personal financial situation in the next year.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 xml:space="preserve">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are good.</w:t>
            </w:r>
          </w:p>
        </w:tc>
        <w:tc>
          <w:tcPr>
            <w:tcW w:w="900" w:type="dxa"/>
            <w:tcBorders>
              <w:top w:val="single" w:sz="4" w:space="0" w:color="auto"/>
            </w:tcBorders>
          </w:tcPr>
          <w:p w:rsidR="00D51D6B" w:rsidRPr="00A16353" w:rsidRDefault="004C6631" w:rsidP="004C6631">
            <w:pPr>
              <w:jc w:val="center"/>
              <w:rPr>
                <w:rFonts w:asciiTheme="minorHAnsi" w:hAnsiTheme="minorHAnsi"/>
                <w:b/>
                <w:sz w:val="24"/>
              </w:rPr>
            </w:pPr>
            <w:r>
              <w:rPr>
                <w:rFonts w:asciiTheme="minorHAnsi" w:hAnsiTheme="minorHAnsi"/>
                <w:b/>
                <w:sz w:val="24"/>
              </w:rPr>
              <w:t>17</w:t>
            </w:r>
            <w:r w:rsidR="00D51D6B" w:rsidRPr="00A16353">
              <w:rPr>
                <w:rStyle w:val="FootnoteReference"/>
                <w:rFonts w:asciiTheme="minorHAnsi" w:hAnsiTheme="minorHAnsi"/>
                <w:b/>
                <w:sz w:val="24"/>
              </w:rPr>
              <w:footnoteReference w:id="2"/>
            </w:r>
          </w:p>
        </w:tc>
        <w:tc>
          <w:tcPr>
            <w:tcW w:w="1008" w:type="dxa"/>
            <w:tcBorders>
              <w:top w:val="single" w:sz="4" w:space="0" w:color="auto"/>
            </w:tcBorders>
          </w:tcPr>
          <w:p w:rsidR="00D51D6B" w:rsidRPr="00A16353" w:rsidRDefault="00BB1BA0" w:rsidP="000F047A">
            <w:pPr>
              <w:jc w:val="center"/>
              <w:rPr>
                <w:rFonts w:asciiTheme="minorHAnsi" w:hAnsiTheme="minorHAnsi"/>
                <w:b/>
                <w:sz w:val="24"/>
              </w:rPr>
            </w:pPr>
            <w:r>
              <w:rPr>
                <w:rFonts w:asciiTheme="minorHAnsi" w:hAnsiTheme="minorHAnsi"/>
                <w:b/>
                <w:sz w:val="24"/>
              </w:rPr>
              <w:t>14</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 xml:space="preserve">Six months from now, 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will be better.</w:t>
            </w:r>
          </w:p>
        </w:tc>
        <w:tc>
          <w:tcPr>
            <w:tcW w:w="900" w:type="dxa"/>
            <w:shd w:val="clear" w:color="auto" w:fill="DBE5F1" w:themeFill="accent1" w:themeFillTint="33"/>
          </w:tcPr>
          <w:p w:rsidR="00D51D6B" w:rsidRPr="00A16353" w:rsidRDefault="004C6631" w:rsidP="0059430D">
            <w:pPr>
              <w:jc w:val="center"/>
              <w:rPr>
                <w:rFonts w:asciiTheme="minorHAnsi" w:hAnsiTheme="minorHAnsi"/>
                <w:b/>
                <w:sz w:val="24"/>
              </w:rPr>
            </w:pPr>
            <w:r>
              <w:rPr>
                <w:rFonts w:asciiTheme="minorHAnsi" w:hAnsiTheme="minorHAnsi"/>
                <w:b/>
                <w:sz w:val="24"/>
              </w:rPr>
              <w:t>1</w:t>
            </w:r>
            <w:r w:rsidR="0059430D">
              <w:rPr>
                <w:rFonts w:asciiTheme="minorHAnsi" w:hAnsiTheme="minorHAnsi"/>
                <w:b/>
                <w:sz w:val="24"/>
              </w:rPr>
              <w:t>5</w:t>
            </w:r>
          </w:p>
        </w:tc>
        <w:tc>
          <w:tcPr>
            <w:tcW w:w="1008" w:type="dxa"/>
            <w:shd w:val="clear" w:color="auto" w:fill="DBE5F1" w:themeFill="accent1" w:themeFillTint="33"/>
          </w:tcPr>
          <w:p w:rsidR="00D51D6B" w:rsidRPr="00A16353" w:rsidRDefault="00BB1BA0" w:rsidP="0022136E">
            <w:pPr>
              <w:jc w:val="center"/>
              <w:rPr>
                <w:rFonts w:asciiTheme="minorHAnsi" w:hAnsiTheme="minorHAnsi"/>
                <w:b/>
                <w:sz w:val="24"/>
              </w:rPr>
            </w:pPr>
            <w:r>
              <w:rPr>
                <w:rFonts w:asciiTheme="minorHAnsi" w:hAnsiTheme="minorHAnsi"/>
                <w:b/>
                <w:sz w:val="24"/>
              </w:rPr>
              <w:t>34</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59430D" w:rsidP="0059430D">
            <w:pPr>
              <w:jc w:val="center"/>
              <w:rPr>
                <w:rFonts w:asciiTheme="minorHAnsi" w:hAnsiTheme="minorHAnsi"/>
                <w:b/>
                <w:sz w:val="24"/>
              </w:rPr>
            </w:pPr>
            <w:r>
              <w:rPr>
                <w:rFonts w:asciiTheme="minorHAnsi" w:hAnsiTheme="minorHAnsi"/>
                <w:b/>
                <w:sz w:val="24"/>
              </w:rPr>
              <w:t>9</w:t>
            </w:r>
          </w:p>
        </w:tc>
        <w:tc>
          <w:tcPr>
            <w:tcW w:w="1008" w:type="dxa"/>
          </w:tcPr>
          <w:p w:rsidR="00D51D6B" w:rsidRPr="00A16353" w:rsidRDefault="00BB1BA0" w:rsidP="000F047A">
            <w:pPr>
              <w:jc w:val="center"/>
              <w:rPr>
                <w:rFonts w:asciiTheme="minorHAnsi" w:hAnsiTheme="minorHAnsi"/>
                <w:b/>
                <w:sz w:val="24"/>
              </w:rPr>
            </w:pPr>
            <w:r>
              <w:rPr>
                <w:rFonts w:asciiTheme="minorHAnsi" w:hAnsiTheme="minorHAnsi"/>
                <w:b/>
                <w:sz w:val="24"/>
              </w:rPr>
              <w:t>5</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4C6631" w:rsidP="0059430D">
            <w:pPr>
              <w:jc w:val="center"/>
              <w:rPr>
                <w:rFonts w:asciiTheme="minorHAnsi" w:hAnsiTheme="minorHAnsi"/>
                <w:b/>
                <w:sz w:val="24"/>
              </w:rPr>
            </w:pPr>
            <w:r>
              <w:rPr>
                <w:rFonts w:asciiTheme="minorHAnsi" w:hAnsiTheme="minorHAnsi"/>
                <w:b/>
                <w:sz w:val="24"/>
              </w:rPr>
              <w:t>1</w:t>
            </w:r>
            <w:r w:rsidR="0059430D">
              <w:rPr>
                <w:rFonts w:asciiTheme="minorHAnsi" w:hAnsiTheme="minorHAnsi"/>
                <w:b/>
                <w:sz w:val="24"/>
              </w:rPr>
              <w:t>4</w:t>
            </w:r>
          </w:p>
        </w:tc>
        <w:tc>
          <w:tcPr>
            <w:tcW w:w="1008" w:type="dxa"/>
            <w:shd w:val="clear" w:color="auto" w:fill="DBE5F1" w:themeFill="accent1" w:themeFillTint="33"/>
          </w:tcPr>
          <w:p w:rsidR="00D51D6B" w:rsidRPr="00A16353" w:rsidRDefault="00BB1BA0" w:rsidP="000F047A">
            <w:pPr>
              <w:jc w:val="center"/>
              <w:rPr>
                <w:rFonts w:asciiTheme="minorHAnsi" w:hAnsiTheme="minorHAnsi"/>
                <w:b/>
                <w:sz w:val="24"/>
              </w:rPr>
            </w:pPr>
            <w:r>
              <w:rPr>
                <w:rFonts w:asciiTheme="minorHAnsi" w:hAnsiTheme="minorHAnsi"/>
                <w:b/>
                <w:sz w:val="24"/>
              </w:rPr>
              <w:t>34</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59430D" w:rsidP="0059430D">
            <w:pPr>
              <w:jc w:val="center"/>
              <w:rPr>
                <w:rFonts w:asciiTheme="minorHAnsi" w:hAnsiTheme="minorHAnsi"/>
                <w:b/>
                <w:sz w:val="24"/>
              </w:rPr>
            </w:pPr>
            <w:r>
              <w:rPr>
                <w:rFonts w:asciiTheme="minorHAnsi" w:hAnsiTheme="minorHAnsi"/>
                <w:b/>
                <w:sz w:val="24"/>
              </w:rPr>
              <w:t>14</w:t>
            </w:r>
          </w:p>
        </w:tc>
        <w:tc>
          <w:tcPr>
            <w:tcW w:w="1008" w:type="dxa"/>
          </w:tcPr>
          <w:p w:rsidR="00D51D6B" w:rsidRPr="00A16353" w:rsidRDefault="00BB1BA0" w:rsidP="000F047A">
            <w:pPr>
              <w:jc w:val="center"/>
              <w:rPr>
                <w:rFonts w:asciiTheme="minorHAnsi" w:hAnsiTheme="minorHAnsi"/>
                <w:b/>
                <w:sz w:val="24"/>
              </w:rPr>
            </w:pPr>
            <w:r>
              <w:rPr>
                <w:rFonts w:asciiTheme="minorHAnsi" w:hAnsiTheme="minorHAnsi"/>
                <w:b/>
                <w:sz w:val="24"/>
              </w:rPr>
              <w:t>33</w:t>
            </w:r>
          </w:p>
        </w:tc>
      </w:tr>
    </w:tbl>
    <w:p w:rsidR="00993846" w:rsidRDefault="00993846"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confidence that translate into reduced purchasing patterns can have significant negative effects on the economy.  Conversely, increases in consumer confidence 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334</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454711">
        <w:rPr>
          <w:rFonts w:asciiTheme="minorHAnsi" w:hAnsiTheme="minorHAnsi"/>
          <w:sz w:val="24"/>
        </w:rPr>
        <w:t>3</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8:30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 xml:space="preserve">Tuesday, </w:t>
      </w:r>
      <w:r w:rsidR="00DA78F5">
        <w:rPr>
          <w:rFonts w:asciiTheme="minorHAnsi" w:hAnsiTheme="minorHAnsi"/>
          <w:sz w:val="24"/>
        </w:rPr>
        <w:t xml:space="preserve">January 29, Wednesday, January 30, and Thursday, January 31.  </w:t>
      </w:r>
      <w:r w:rsidRPr="00A16353">
        <w:rPr>
          <w:rFonts w:asciiTheme="minorHAnsi" w:hAnsiTheme="minorHAnsi"/>
          <w:sz w:val="24"/>
        </w:rPr>
        <w:t>With a sample of</w:t>
      </w:r>
      <w:r w:rsidR="00741192">
        <w:rPr>
          <w:rFonts w:asciiTheme="minorHAnsi" w:hAnsiTheme="minorHAnsi"/>
          <w:sz w:val="24"/>
        </w:rPr>
        <w:t xml:space="preserve"> </w:t>
      </w:r>
      <w:r w:rsidR="00C90EB0">
        <w:rPr>
          <w:rFonts w:asciiTheme="minorHAnsi" w:hAnsiTheme="minorHAnsi"/>
          <w:sz w:val="24"/>
        </w:rPr>
        <w:t>334</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0D12D0">
        <w:rPr>
          <w:rFonts w:asciiTheme="minorHAnsi" w:hAnsiTheme="minorHAnsi"/>
          <w:sz w:val="24"/>
        </w:rPr>
        <w:t xml:space="preserve"> </w:t>
      </w:r>
      <w:r w:rsidR="00C90EB0">
        <w:rPr>
          <w:rFonts w:asciiTheme="minorHAnsi" w:hAnsiTheme="minorHAnsi"/>
          <w:sz w:val="24"/>
        </w:rPr>
        <w:t>5.4</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8"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9"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 xml:space="preserve">he Management and Marketing Department at </w:t>
      </w:r>
      <w:smartTag w:uri="urn:schemas-microsoft-com:office:smarttags" w:element="place">
        <w:smartTag w:uri="urn:schemas-microsoft-com:office:smarttags" w:element="PlaceName">
          <w:r w:rsidRPr="00A16353">
            <w:rPr>
              <w:rFonts w:asciiTheme="minorHAnsi" w:hAnsiTheme="minorHAnsi"/>
              <w:sz w:val="24"/>
            </w:rPr>
            <w:t>Middle</w:t>
          </w:r>
        </w:smartTag>
        <w:r w:rsidRPr="00A16353">
          <w:rPr>
            <w:rFonts w:asciiTheme="minorHAnsi" w:hAnsiTheme="minorHAnsi"/>
            <w:sz w:val="24"/>
          </w:rPr>
          <w:t xml:space="preserve"> </w:t>
        </w:r>
        <w:smartTag w:uri="urn:schemas-microsoft-com:office:smarttags" w:element="PlaceName">
          <w:r w:rsidRPr="00A16353">
            <w:rPr>
              <w:rFonts w:asciiTheme="minorHAnsi" w:hAnsiTheme="minorHAnsi"/>
              <w:sz w:val="24"/>
            </w:rPr>
            <w:t>Tennessee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State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University</w:t>
          </w:r>
        </w:smartTag>
      </w:smartTag>
      <w:r w:rsidRPr="00A16353">
        <w:rPr>
          <w:rFonts w:asciiTheme="minorHAnsi" w:hAnsiTheme="minorHAnsi"/>
          <w:sz w:val="24"/>
        </w:rPr>
        <w:t xml:space="preserve">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20"/>
          <w:footerReference w:type="even" r:id="rId21"/>
          <w:footerReference w:type="default" r:id="rId22"/>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D3" w:rsidRDefault="00847DD3">
      <w:r>
        <w:separator/>
      </w:r>
    </w:p>
  </w:endnote>
  <w:endnote w:type="continuationSeparator" w:id="0">
    <w:p w:rsidR="00847DD3" w:rsidRDefault="0084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39" w:rsidRDefault="00FB0B39"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B39" w:rsidRDefault="00FB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FB0B39">
      <w:tc>
        <w:tcPr>
          <w:tcW w:w="918" w:type="dxa"/>
        </w:tcPr>
        <w:p w:rsidR="00FB0B39" w:rsidRDefault="00FB0B39">
          <w:pPr>
            <w:pStyle w:val="Footer"/>
            <w:jc w:val="right"/>
            <w:rPr>
              <w:b/>
              <w:color w:val="4F81BD" w:themeColor="accent1"/>
              <w:sz w:val="32"/>
              <w:szCs w:val="32"/>
            </w:rPr>
          </w:pPr>
          <w:r>
            <w:fldChar w:fldCharType="begin"/>
          </w:r>
          <w:r>
            <w:instrText xml:space="preserve"> PAGE   \* MERGEFORMAT </w:instrText>
          </w:r>
          <w:r>
            <w:fldChar w:fldCharType="separate"/>
          </w:r>
          <w:r w:rsidR="008646AF" w:rsidRPr="008646AF">
            <w:rPr>
              <w:b/>
              <w:noProof/>
              <w:color w:val="4F81BD" w:themeColor="accent1"/>
              <w:sz w:val="32"/>
              <w:szCs w:val="32"/>
            </w:rPr>
            <w:t>8</w:t>
          </w:r>
          <w:r>
            <w:rPr>
              <w:b/>
              <w:noProof/>
              <w:color w:val="4F81BD" w:themeColor="accent1"/>
              <w:sz w:val="32"/>
              <w:szCs w:val="32"/>
            </w:rPr>
            <w:fldChar w:fldCharType="end"/>
          </w:r>
        </w:p>
      </w:tc>
      <w:tc>
        <w:tcPr>
          <w:tcW w:w="7938" w:type="dxa"/>
        </w:tcPr>
        <w:p w:rsidR="00FB0B39" w:rsidRPr="00EB2F31" w:rsidRDefault="00FB0B39"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FB0B39" w:rsidRDefault="00FB0B39"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D3" w:rsidRDefault="00847DD3">
      <w:r>
        <w:separator/>
      </w:r>
    </w:p>
  </w:footnote>
  <w:footnote w:type="continuationSeparator" w:id="0">
    <w:p w:rsidR="00847DD3" w:rsidRDefault="00847DD3">
      <w:r>
        <w:continuationSeparator/>
      </w:r>
    </w:p>
  </w:footnote>
  <w:footnote w:id="1">
    <w:p w:rsidR="00FB0B39" w:rsidRDefault="00FB0B39" w:rsidP="00FB0B39">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FB0B39" w:rsidRPr="00A16353" w:rsidRDefault="00FB0B39" w:rsidP="00FB0B39">
      <w:pPr>
        <w:pStyle w:val="FootnoteText"/>
        <w:rPr>
          <w:rFonts w:asciiTheme="minorHAnsi" w:hAnsiTheme="minorHAnsi"/>
        </w:rPr>
      </w:pPr>
    </w:p>
  </w:footnote>
  <w:footnote w:id="2">
    <w:p w:rsidR="00FB0B39" w:rsidRDefault="00FB0B39"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January 29, 2013, “The Conference Board Consumer Confidence Index</w:t>
      </w:r>
      <w:r>
        <w:rPr>
          <w:rFonts w:asciiTheme="minorHAnsi" w:hAnsiTheme="minorHAnsi" w:cstheme="minorHAnsi"/>
        </w:rPr>
        <w:t>®</w:t>
      </w:r>
      <w:r>
        <w:rPr>
          <w:rFonts w:asciiTheme="minorHAnsi" w:hAnsiTheme="minorHAnsi"/>
        </w:rPr>
        <w:t xml:space="preserve"> Declines.”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FB0B39" w:rsidRPr="00A16353" w:rsidRDefault="00FB0B39"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FB0B39" w:rsidTr="00182CC7">
      <w:trPr>
        <w:trHeight w:val="288"/>
      </w:trPr>
      <w:tc>
        <w:tcPr>
          <w:tcW w:w="6955" w:type="dxa"/>
        </w:tcPr>
        <w:p w:rsidR="00FB0B39" w:rsidRPr="00EB2F31" w:rsidRDefault="00FB0B39" w:rsidP="004C6631">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February  </w:t>
          </w:r>
        </w:p>
      </w:tc>
      <w:tc>
        <w:tcPr>
          <w:tcW w:w="1915" w:type="dxa"/>
        </w:tcPr>
        <w:p w:rsidR="00FB0B39" w:rsidRPr="00EB2F31" w:rsidRDefault="00FB0B39" w:rsidP="004C6631">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3</w:t>
          </w:r>
        </w:p>
      </w:tc>
    </w:tr>
  </w:tbl>
  <w:p w:rsidR="00FB0B39" w:rsidRDefault="00FB0B39"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599C"/>
    <w:rsid w:val="00055B65"/>
    <w:rsid w:val="00056DC6"/>
    <w:rsid w:val="000570D2"/>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454B"/>
    <w:rsid w:val="0017690B"/>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176B"/>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77DD"/>
    <w:rsid w:val="00460C7C"/>
    <w:rsid w:val="004631E8"/>
    <w:rsid w:val="0046324A"/>
    <w:rsid w:val="00463CC6"/>
    <w:rsid w:val="00464C39"/>
    <w:rsid w:val="00465448"/>
    <w:rsid w:val="0046736F"/>
    <w:rsid w:val="00467FAD"/>
    <w:rsid w:val="00474601"/>
    <w:rsid w:val="00477152"/>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5B2B"/>
    <w:rsid w:val="005E4856"/>
    <w:rsid w:val="005E61A0"/>
    <w:rsid w:val="005E6F12"/>
    <w:rsid w:val="005F1A8C"/>
    <w:rsid w:val="0060076C"/>
    <w:rsid w:val="006047C8"/>
    <w:rsid w:val="00606606"/>
    <w:rsid w:val="00610A1E"/>
    <w:rsid w:val="00613500"/>
    <w:rsid w:val="006161B6"/>
    <w:rsid w:val="006171B9"/>
    <w:rsid w:val="0061763B"/>
    <w:rsid w:val="0061769D"/>
    <w:rsid w:val="006244C9"/>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B02AB"/>
    <w:rsid w:val="007B041F"/>
    <w:rsid w:val="007B0AE0"/>
    <w:rsid w:val="007B1A32"/>
    <w:rsid w:val="007B2101"/>
    <w:rsid w:val="007B3998"/>
    <w:rsid w:val="007B65BF"/>
    <w:rsid w:val="007C1CE7"/>
    <w:rsid w:val="007C3C61"/>
    <w:rsid w:val="007C4244"/>
    <w:rsid w:val="007C47FE"/>
    <w:rsid w:val="007C5518"/>
    <w:rsid w:val="007C5C5E"/>
    <w:rsid w:val="007C5F34"/>
    <w:rsid w:val="007C67E8"/>
    <w:rsid w:val="007C6976"/>
    <w:rsid w:val="007C7D8F"/>
    <w:rsid w:val="007D00C1"/>
    <w:rsid w:val="007D350E"/>
    <w:rsid w:val="007D5075"/>
    <w:rsid w:val="007D6BF3"/>
    <w:rsid w:val="007E0E30"/>
    <w:rsid w:val="007E280D"/>
    <w:rsid w:val="007E4401"/>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1051F"/>
    <w:rsid w:val="008122A1"/>
    <w:rsid w:val="00813954"/>
    <w:rsid w:val="00815382"/>
    <w:rsid w:val="00816412"/>
    <w:rsid w:val="00817E37"/>
    <w:rsid w:val="00820BB1"/>
    <w:rsid w:val="008243A0"/>
    <w:rsid w:val="00827DF3"/>
    <w:rsid w:val="00830A15"/>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2687"/>
    <w:rsid w:val="0089433D"/>
    <w:rsid w:val="00896B4D"/>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2EA5"/>
    <w:rsid w:val="008E49F9"/>
    <w:rsid w:val="008E5F50"/>
    <w:rsid w:val="008E7B5D"/>
    <w:rsid w:val="008F02C3"/>
    <w:rsid w:val="008F07FF"/>
    <w:rsid w:val="008F0B52"/>
    <w:rsid w:val="008F3A00"/>
    <w:rsid w:val="008F4CA8"/>
    <w:rsid w:val="008F4FE1"/>
    <w:rsid w:val="008F524D"/>
    <w:rsid w:val="008F533A"/>
    <w:rsid w:val="008F658F"/>
    <w:rsid w:val="009017D8"/>
    <w:rsid w:val="00902CCD"/>
    <w:rsid w:val="00906320"/>
    <w:rsid w:val="00906506"/>
    <w:rsid w:val="0090681D"/>
    <w:rsid w:val="00906A6F"/>
    <w:rsid w:val="00907ED2"/>
    <w:rsid w:val="0091082B"/>
    <w:rsid w:val="00911421"/>
    <w:rsid w:val="009124B0"/>
    <w:rsid w:val="0091272D"/>
    <w:rsid w:val="00912D00"/>
    <w:rsid w:val="00915325"/>
    <w:rsid w:val="0091589E"/>
    <w:rsid w:val="00916AF7"/>
    <w:rsid w:val="009173C5"/>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70D"/>
    <w:rsid w:val="00972D87"/>
    <w:rsid w:val="009739F2"/>
    <w:rsid w:val="0097400D"/>
    <w:rsid w:val="00975FF6"/>
    <w:rsid w:val="009771F1"/>
    <w:rsid w:val="009776EB"/>
    <w:rsid w:val="0097772C"/>
    <w:rsid w:val="00980020"/>
    <w:rsid w:val="0098153E"/>
    <w:rsid w:val="00982112"/>
    <w:rsid w:val="009821BD"/>
    <w:rsid w:val="009848AC"/>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4DF4"/>
    <w:rsid w:val="009E5F7E"/>
    <w:rsid w:val="009F2199"/>
    <w:rsid w:val="009F27C3"/>
    <w:rsid w:val="009F3947"/>
    <w:rsid w:val="00A0104E"/>
    <w:rsid w:val="00A06B42"/>
    <w:rsid w:val="00A07B8D"/>
    <w:rsid w:val="00A1004F"/>
    <w:rsid w:val="00A10DA2"/>
    <w:rsid w:val="00A16353"/>
    <w:rsid w:val="00A16F16"/>
    <w:rsid w:val="00A16FD1"/>
    <w:rsid w:val="00A209E8"/>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9CE"/>
    <w:rsid w:val="00B7651F"/>
    <w:rsid w:val="00B80D46"/>
    <w:rsid w:val="00B84F3B"/>
    <w:rsid w:val="00B86046"/>
    <w:rsid w:val="00B8681A"/>
    <w:rsid w:val="00B86B97"/>
    <w:rsid w:val="00B901EA"/>
    <w:rsid w:val="00B93699"/>
    <w:rsid w:val="00B94B51"/>
    <w:rsid w:val="00B954E0"/>
    <w:rsid w:val="00BA5758"/>
    <w:rsid w:val="00BA5ABC"/>
    <w:rsid w:val="00BA5B53"/>
    <w:rsid w:val="00BA63C3"/>
    <w:rsid w:val="00BB1A2A"/>
    <w:rsid w:val="00BB1BA0"/>
    <w:rsid w:val="00BC26BC"/>
    <w:rsid w:val="00BC5313"/>
    <w:rsid w:val="00BC5968"/>
    <w:rsid w:val="00BC5BB4"/>
    <w:rsid w:val="00BC606F"/>
    <w:rsid w:val="00BC6BAC"/>
    <w:rsid w:val="00BD2068"/>
    <w:rsid w:val="00BD3D7C"/>
    <w:rsid w:val="00BD687F"/>
    <w:rsid w:val="00BD6A40"/>
    <w:rsid w:val="00BD7307"/>
    <w:rsid w:val="00BE0E77"/>
    <w:rsid w:val="00BE1D68"/>
    <w:rsid w:val="00BE209C"/>
    <w:rsid w:val="00BE46FC"/>
    <w:rsid w:val="00BE52E8"/>
    <w:rsid w:val="00BE5A9F"/>
    <w:rsid w:val="00BE639D"/>
    <w:rsid w:val="00BE6A7D"/>
    <w:rsid w:val="00BE6B4C"/>
    <w:rsid w:val="00BF3547"/>
    <w:rsid w:val="00BF45D5"/>
    <w:rsid w:val="00BF468A"/>
    <w:rsid w:val="00C031DB"/>
    <w:rsid w:val="00C10FE4"/>
    <w:rsid w:val="00C1123E"/>
    <w:rsid w:val="00C11718"/>
    <w:rsid w:val="00C14356"/>
    <w:rsid w:val="00C16A07"/>
    <w:rsid w:val="00C173AA"/>
    <w:rsid w:val="00C17EC4"/>
    <w:rsid w:val="00C201F4"/>
    <w:rsid w:val="00C210E3"/>
    <w:rsid w:val="00C24F83"/>
    <w:rsid w:val="00C251A5"/>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332"/>
    <w:rsid w:val="00C76435"/>
    <w:rsid w:val="00C76DE2"/>
    <w:rsid w:val="00C770E3"/>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D07B2"/>
    <w:rsid w:val="00CD09EB"/>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1F1E"/>
    <w:rsid w:val="00D33602"/>
    <w:rsid w:val="00D359F4"/>
    <w:rsid w:val="00D36AF1"/>
    <w:rsid w:val="00D40077"/>
    <w:rsid w:val="00D422B4"/>
    <w:rsid w:val="00D4573D"/>
    <w:rsid w:val="00D46A37"/>
    <w:rsid w:val="00D5157D"/>
    <w:rsid w:val="00D51861"/>
    <w:rsid w:val="00D51D6B"/>
    <w:rsid w:val="00D52E0C"/>
    <w:rsid w:val="00D545E3"/>
    <w:rsid w:val="00D62C8E"/>
    <w:rsid w:val="00D62CAC"/>
    <w:rsid w:val="00D63BD9"/>
    <w:rsid w:val="00D6459B"/>
    <w:rsid w:val="00D649FB"/>
    <w:rsid w:val="00D65A88"/>
    <w:rsid w:val="00D7131C"/>
    <w:rsid w:val="00D73D12"/>
    <w:rsid w:val="00D755A2"/>
    <w:rsid w:val="00D75F8B"/>
    <w:rsid w:val="00D811F0"/>
    <w:rsid w:val="00D81614"/>
    <w:rsid w:val="00D8186F"/>
    <w:rsid w:val="00D81998"/>
    <w:rsid w:val="00D84E58"/>
    <w:rsid w:val="00D850E7"/>
    <w:rsid w:val="00D85D5E"/>
    <w:rsid w:val="00D85F55"/>
    <w:rsid w:val="00D8749B"/>
    <w:rsid w:val="00D92713"/>
    <w:rsid w:val="00D92EEA"/>
    <w:rsid w:val="00D92F6F"/>
    <w:rsid w:val="00D93BE6"/>
    <w:rsid w:val="00D95D23"/>
    <w:rsid w:val="00D96C1F"/>
    <w:rsid w:val="00DA47C4"/>
    <w:rsid w:val="00DA5B64"/>
    <w:rsid w:val="00DA78F5"/>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35AE"/>
    <w:rsid w:val="00E63A1F"/>
    <w:rsid w:val="00E64489"/>
    <w:rsid w:val="00E648FB"/>
    <w:rsid w:val="00E67D84"/>
    <w:rsid w:val="00E71FC6"/>
    <w:rsid w:val="00E732FD"/>
    <w:rsid w:val="00E75D57"/>
    <w:rsid w:val="00E778E5"/>
    <w:rsid w:val="00E81569"/>
    <w:rsid w:val="00E83459"/>
    <w:rsid w:val="00E83AB0"/>
    <w:rsid w:val="00E8417A"/>
    <w:rsid w:val="00E85002"/>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E0BF6"/>
    <w:rsid w:val="00FE4807"/>
    <w:rsid w:val="00FE48A8"/>
    <w:rsid w:val="00FE5E4D"/>
    <w:rsid w:val="00FE663C"/>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www.conference-board.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7.xml"/><Relationship Id="rId10" Type="http://schemas.openxmlformats.org/officeDocument/2006/relationships/hyperlink" Target="mailto:Tim.Graeff@mtsu.edu" TargetMode="External"/><Relationship Id="rId19" Type="http://schemas.openxmlformats.org/officeDocument/2006/relationships/hyperlink" Target="http://www.mtsu.edu/consum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Fe11</c:v>
                </c:pt>
                <c:pt idx="1">
                  <c:v>Ap11</c:v>
                </c:pt>
                <c:pt idx="2">
                  <c:v>Ma11</c:v>
                </c:pt>
                <c:pt idx="3">
                  <c:v>Se11</c:v>
                </c:pt>
                <c:pt idx="4">
                  <c:v>De11</c:v>
                </c:pt>
                <c:pt idx="5">
                  <c:v>Ja12</c:v>
                </c:pt>
                <c:pt idx="6">
                  <c:v>Ap12</c:v>
                </c:pt>
                <c:pt idx="7">
                  <c:v>Se12</c:v>
                </c:pt>
                <c:pt idx="8">
                  <c:v>No12</c:v>
                </c:pt>
                <c:pt idx="9">
                  <c:v>Fe13</c:v>
                </c:pt>
              </c:strCache>
            </c:strRef>
          </c:cat>
          <c:val>
            <c:numRef>
              <c:f>Sheet1!$B$2:$K$2</c:f>
              <c:numCache>
                <c:formatCode>General</c:formatCode>
                <c:ptCount val="10"/>
                <c:pt idx="0">
                  <c:v>129</c:v>
                </c:pt>
                <c:pt idx="1">
                  <c:v>54</c:v>
                </c:pt>
                <c:pt idx="2">
                  <c:v>63</c:v>
                </c:pt>
                <c:pt idx="3">
                  <c:v>27</c:v>
                </c:pt>
                <c:pt idx="4">
                  <c:v>112</c:v>
                </c:pt>
                <c:pt idx="5">
                  <c:v>151</c:v>
                </c:pt>
                <c:pt idx="6">
                  <c:v>184</c:v>
                </c:pt>
                <c:pt idx="7">
                  <c:v>178</c:v>
                </c:pt>
                <c:pt idx="8">
                  <c:v>106</c:v>
                </c:pt>
                <c:pt idx="9">
                  <c:v>144</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Fe11</c:v>
                </c:pt>
                <c:pt idx="1">
                  <c:v>Ap11</c:v>
                </c:pt>
                <c:pt idx="2">
                  <c:v>Ma11</c:v>
                </c:pt>
                <c:pt idx="3">
                  <c:v>Se11</c:v>
                </c:pt>
                <c:pt idx="4">
                  <c:v>De11</c:v>
                </c:pt>
                <c:pt idx="5">
                  <c:v>Ja12</c:v>
                </c:pt>
                <c:pt idx="6">
                  <c:v>Ap12</c:v>
                </c:pt>
                <c:pt idx="7">
                  <c:v>Se12</c:v>
                </c:pt>
                <c:pt idx="8">
                  <c:v>No12</c:v>
                </c:pt>
                <c:pt idx="9">
                  <c:v>Fe13</c:v>
                </c:pt>
              </c:strCache>
            </c:strRef>
          </c:cat>
          <c:val>
            <c:numRef>
              <c:f>Sheet1!$B$3:$K$3</c:f>
              <c:numCache>
                <c:formatCode>General</c:formatCode>
                <c:ptCount val="10"/>
                <c:pt idx="0">
                  <c:v>-74</c:v>
                </c:pt>
                <c:pt idx="1">
                  <c:v>-83</c:v>
                </c:pt>
                <c:pt idx="2">
                  <c:v>-80</c:v>
                </c:pt>
                <c:pt idx="3">
                  <c:v>-86</c:v>
                </c:pt>
                <c:pt idx="4">
                  <c:v>-64</c:v>
                </c:pt>
                <c:pt idx="5">
                  <c:v>-55</c:v>
                </c:pt>
                <c:pt idx="6">
                  <c:v>-24</c:v>
                </c:pt>
                <c:pt idx="7">
                  <c:v>-26</c:v>
                </c:pt>
                <c:pt idx="8">
                  <c:v>-22</c:v>
                </c:pt>
                <c:pt idx="9">
                  <c:v>-16</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Fe11</c:v>
                </c:pt>
                <c:pt idx="1">
                  <c:v>Ap11</c:v>
                </c:pt>
                <c:pt idx="2">
                  <c:v>Ma11</c:v>
                </c:pt>
                <c:pt idx="3">
                  <c:v>Se11</c:v>
                </c:pt>
                <c:pt idx="4">
                  <c:v>De11</c:v>
                </c:pt>
                <c:pt idx="5">
                  <c:v>Ja12</c:v>
                </c:pt>
                <c:pt idx="6">
                  <c:v>Ap12</c:v>
                </c:pt>
                <c:pt idx="7">
                  <c:v>Se12</c:v>
                </c:pt>
                <c:pt idx="8">
                  <c:v>No12</c:v>
                </c:pt>
                <c:pt idx="9">
                  <c:v>Fe13</c:v>
                </c:pt>
              </c:strCache>
            </c:strRef>
          </c:cat>
          <c:val>
            <c:numRef>
              <c:f>Sheet1!$B$4:$K$4</c:f>
              <c:numCache>
                <c:formatCode>General</c:formatCode>
                <c:ptCount val="10"/>
                <c:pt idx="0">
                  <c:v>123</c:v>
                </c:pt>
                <c:pt idx="1">
                  <c:v>75</c:v>
                </c:pt>
                <c:pt idx="2">
                  <c:v>99</c:v>
                </c:pt>
                <c:pt idx="3">
                  <c:v>59</c:v>
                </c:pt>
                <c:pt idx="4">
                  <c:v>97</c:v>
                </c:pt>
                <c:pt idx="5">
                  <c:v>125</c:v>
                </c:pt>
                <c:pt idx="6">
                  <c:v>115</c:v>
                </c:pt>
                <c:pt idx="7">
                  <c:v>112</c:v>
                </c:pt>
                <c:pt idx="8">
                  <c:v>55</c:v>
                </c:pt>
                <c:pt idx="9">
                  <c:v>78</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Fe11</c:v>
                </c:pt>
                <c:pt idx="1">
                  <c:v>Ap11</c:v>
                </c:pt>
                <c:pt idx="2">
                  <c:v>Ma11</c:v>
                </c:pt>
                <c:pt idx="3">
                  <c:v>Se11</c:v>
                </c:pt>
                <c:pt idx="4">
                  <c:v>De11</c:v>
                </c:pt>
                <c:pt idx="5">
                  <c:v>Ja12</c:v>
                </c:pt>
                <c:pt idx="6">
                  <c:v>Ap12</c:v>
                </c:pt>
                <c:pt idx="7">
                  <c:v>Se12</c:v>
                </c:pt>
                <c:pt idx="8">
                  <c:v>No12</c:v>
                </c:pt>
                <c:pt idx="9">
                  <c:v>Fe13</c:v>
                </c:pt>
              </c:strCache>
            </c:strRef>
          </c:cat>
          <c:val>
            <c:numRef>
              <c:f>Sheet1!$B$5:$K$5</c:f>
              <c:numCache>
                <c:formatCode>General</c:formatCode>
                <c:ptCount val="10"/>
                <c:pt idx="0">
                  <c:v>80</c:v>
                </c:pt>
                <c:pt idx="1">
                  <c:v>62</c:v>
                </c:pt>
                <c:pt idx="2">
                  <c:v>44</c:v>
                </c:pt>
                <c:pt idx="3">
                  <c:v>54</c:v>
                </c:pt>
                <c:pt idx="4">
                  <c:v>79</c:v>
                </c:pt>
                <c:pt idx="5">
                  <c:v>81</c:v>
                </c:pt>
                <c:pt idx="6">
                  <c:v>93</c:v>
                </c:pt>
                <c:pt idx="7">
                  <c:v>92</c:v>
                </c:pt>
                <c:pt idx="8">
                  <c:v>73</c:v>
                </c:pt>
                <c:pt idx="9">
                  <c:v>82</c:v>
                </c:pt>
              </c:numCache>
            </c:numRef>
          </c:val>
          <c:smooth val="0"/>
        </c:ser>
        <c:dLbls>
          <c:showLegendKey val="0"/>
          <c:showVal val="0"/>
          <c:showCatName val="0"/>
          <c:showSerName val="0"/>
          <c:showPercent val="0"/>
          <c:showBubbleSize val="0"/>
        </c:dLbls>
        <c:marker val="1"/>
        <c:smooth val="0"/>
        <c:axId val="146025088"/>
        <c:axId val="146121472"/>
      </c:lineChart>
      <c:catAx>
        <c:axId val="146025088"/>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46121472"/>
        <c:crosses val="autoZero"/>
        <c:auto val="1"/>
        <c:lblAlgn val="ctr"/>
        <c:lblOffset val="100"/>
        <c:noMultiLvlLbl val="0"/>
      </c:catAx>
      <c:valAx>
        <c:axId val="146121472"/>
        <c:scaling>
          <c:orientation val="minMax"/>
          <c:max val="20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4602508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Jan'12</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0.06</c:v>
                </c:pt>
                <c:pt idx="1">
                  <c:v>0.45</c:v>
                </c:pt>
                <c:pt idx="2">
                  <c:v>0.49</c:v>
                </c:pt>
              </c:numCache>
            </c:numRef>
          </c:val>
        </c:ser>
        <c:ser>
          <c:idx val="1"/>
          <c:order val="1"/>
          <c:tx>
            <c:strRef>
              <c:f>Sheet1!$C$1</c:f>
              <c:strCache>
                <c:ptCount val="1"/>
                <c:pt idx="0">
                  <c:v>Apr'12</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0.05</c:v>
                </c:pt>
                <c:pt idx="1">
                  <c:v>0.36</c:v>
                </c:pt>
                <c:pt idx="2">
                  <c:v>0.6</c:v>
                </c:pt>
              </c:numCache>
            </c:numRef>
          </c:val>
        </c:ser>
        <c:ser>
          <c:idx val="2"/>
          <c:order val="2"/>
          <c:tx>
            <c:strRef>
              <c:f>Sheet1!$D$1</c:f>
              <c:strCache>
                <c:ptCount val="1"/>
                <c:pt idx="0">
                  <c:v>Sept'12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0.09</c:v>
                </c:pt>
                <c:pt idx="1">
                  <c:v>0.33</c:v>
                </c:pt>
                <c:pt idx="2">
                  <c:v>0.59</c:v>
                </c:pt>
              </c:numCache>
            </c:numRef>
          </c:val>
        </c:ser>
        <c:ser>
          <c:idx val="3"/>
          <c:order val="3"/>
          <c:tx>
            <c:strRef>
              <c:f>Sheet1!$E$1</c:f>
              <c:strCache>
                <c:ptCount val="1"/>
                <c:pt idx="0">
                  <c:v>Nov'12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0.03</c:v>
                </c:pt>
                <c:pt idx="1">
                  <c:v>0.23</c:v>
                </c:pt>
                <c:pt idx="2">
                  <c:v>0.74</c:v>
                </c:pt>
              </c:numCache>
            </c:numRef>
          </c:val>
        </c:ser>
        <c:ser>
          <c:idx val="4"/>
          <c:order val="4"/>
          <c:tx>
            <c:strRef>
              <c:f>Sheet1!$F$1</c:f>
              <c:strCache>
                <c:ptCount val="1"/>
                <c:pt idx="0">
                  <c:v>Feb'13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0.04</c:v>
                </c:pt>
                <c:pt idx="1">
                  <c:v>0.22</c:v>
                </c:pt>
                <c:pt idx="2">
                  <c:v>0.74</c:v>
                </c:pt>
              </c:numCache>
            </c:numRef>
          </c:val>
        </c:ser>
        <c:dLbls>
          <c:showLegendKey val="0"/>
          <c:showVal val="1"/>
          <c:showCatName val="0"/>
          <c:showSerName val="0"/>
          <c:showPercent val="0"/>
          <c:showBubbleSize val="0"/>
        </c:dLbls>
        <c:gapWidth val="150"/>
        <c:axId val="137338240"/>
        <c:axId val="137917568"/>
      </c:barChart>
      <c:catAx>
        <c:axId val="137338240"/>
        <c:scaling>
          <c:orientation val="minMax"/>
        </c:scaling>
        <c:delete val="0"/>
        <c:axPos val="b"/>
        <c:numFmt formatCode="General" sourceLinked="1"/>
        <c:majorTickMark val="out"/>
        <c:minorTickMark val="none"/>
        <c:tickLblPos val="nextTo"/>
        <c:txPr>
          <a:bodyPr/>
          <a:lstStyle/>
          <a:p>
            <a:pPr>
              <a:defRPr b="0"/>
            </a:pPr>
            <a:endParaRPr lang="en-US"/>
          </a:p>
        </c:txPr>
        <c:crossAx val="137917568"/>
        <c:crosses val="autoZero"/>
        <c:auto val="1"/>
        <c:lblAlgn val="ctr"/>
        <c:lblOffset val="100"/>
        <c:noMultiLvlLbl val="0"/>
      </c:catAx>
      <c:valAx>
        <c:axId val="137917568"/>
        <c:scaling>
          <c:orientation val="minMax"/>
        </c:scaling>
        <c:delete val="0"/>
        <c:axPos val="l"/>
        <c:numFmt formatCode="0%" sourceLinked="1"/>
        <c:majorTickMark val="out"/>
        <c:minorTickMark val="none"/>
        <c:tickLblPos val="nextTo"/>
        <c:txPr>
          <a:bodyPr/>
          <a:lstStyle/>
          <a:p>
            <a:pPr>
              <a:defRPr b="0"/>
            </a:pPr>
            <a:endParaRPr lang="en-US"/>
          </a:p>
        </c:txPr>
        <c:crossAx val="137338240"/>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Jan'12</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c:v>
                </c:pt>
                <c:pt idx="1">
                  <c:v>0.47</c:v>
                </c:pt>
                <c:pt idx="2">
                  <c:v>0.43</c:v>
                </c:pt>
              </c:numCache>
            </c:numRef>
          </c:val>
        </c:ser>
        <c:ser>
          <c:idx val="1"/>
          <c:order val="1"/>
          <c:tx>
            <c:strRef>
              <c:f>Sheet1!$C$1</c:f>
              <c:strCache>
                <c:ptCount val="1"/>
                <c:pt idx="0">
                  <c:v>Apr'12</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0.14000000000000001</c:v>
                </c:pt>
                <c:pt idx="1">
                  <c:v>0.4</c:v>
                </c:pt>
                <c:pt idx="2">
                  <c:v>0.46</c:v>
                </c:pt>
              </c:numCache>
            </c:numRef>
          </c:val>
        </c:ser>
        <c:ser>
          <c:idx val="2"/>
          <c:order val="2"/>
          <c:tx>
            <c:strRef>
              <c:f>Sheet1!$D$1</c:f>
              <c:strCache>
                <c:ptCount val="1"/>
                <c:pt idx="0">
                  <c:v>Sept'12</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0.15</c:v>
                </c:pt>
                <c:pt idx="1">
                  <c:v>0.41</c:v>
                </c:pt>
                <c:pt idx="2">
                  <c:v>0.44</c:v>
                </c:pt>
              </c:numCache>
            </c:numRef>
          </c:val>
        </c:ser>
        <c:ser>
          <c:idx val="3"/>
          <c:order val="3"/>
          <c:tx>
            <c:strRef>
              <c:f>Sheet1!$E$1</c:f>
              <c:strCache>
                <c:ptCount val="1"/>
                <c:pt idx="0">
                  <c:v>Nov'12</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0.27</c:v>
                </c:pt>
                <c:pt idx="1">
                  <c:v>0.34</c:v>
                </c:pt>
                <c:pt idx="2">
                  <c:v>0.39</c:v>
                </c:pt>
              </c:numCache>
            </c:numRef>
          </c:val>
        </c:ser>
        <c:ser>
          <c:idx val="4"/>
          <c:order val="4"/>
          <c:tx>
            <c:strRef>
              <c:f>Sheet1!$F$1</c:f>
              <c:strCache>
                <c:ptCount val="1"/>
                <c:pt idx="0">
                  <c:v>Feb'13</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0.23</c:v>
                </c:pt>
                <c:pt idx="1">
                  <c:v>0.37</c:v>
                </c:pt>
                <c:pt idx="2">
                  <c:v>0.4</c:v>
                </c:pt>
              </c:numCache>
            </c:numRef>
          </c:val>
        </c:ser>
        <c:dLbls>
          <c:showLegendKey val="0"/>
          <c:showVal val="1"/>
          <c:showCatName val="0"/>
          <c:showSerName val="0"/>
          <c:showPercent val="0"/>
          <c:showBubbleSize val="0"/>
        </c:dLbls>
        <c:gapWidth val="150"/>
        <c:axId val="138128000"/>
        <c:axId val="138146176"/>
      </c:barChart>
      <c:catAx>
        <c:axId val="138128000"/>
        <c:scaling>
          <c:orientation val="minMax"/>
        </c:scaling>
        <c:delete val="0"/>
        <c:axPos val="b"/>
        <c:numFmt formatCode="General" sourceLinked="1"/>
        <c:majorTickMark val="out"/>
        <c:minorTickMark val="none"/>
        <c:tickLblPos val="nextTo"/>
        <c:txPr>
          <a:bodyPr/>
          <a:lstStyle/>
          <a:p>
            <a:pPr>
              <a:defRPr b="0"/>
            </a:pPr>
            <a:endParaRPr lang="en-US"/>
          </a:p>
        </c:txPr>
        <c:crossAx val="138146176"/>
        <c:crosses val="autoZero"/>
        <c:auto val="1"/>
        <c:lblAlgn val="ctr"/>
        <c:lblOffset val="100"/>
        <c:noMultiLvlLbl val="0"/>
      </c:catAx>
      <c:valAx>
        <c:axId val="138146176"/>
        <c:scaling>
          <c:orientation val="minMax"/>
        </c:scaling>
        <c:delete val="0"/>
        <c:axPos val="l"/>
        <c:numFmt formatCode="0%" sourceLinked="1"/>
        <c:majorTickMark val="out"/>
        <c:minorTickMark val="none"/>
        <c:tickLblPos val="nextTo"/>
        <c:txPr>
          <a:bodyPr/>
          <a:lstStyle/>
          <a:p>
            <a:pPr>
              <a:defRPr b="0"/>
            </a:pPr>
            <a:endParaRPr lang="en-US"/>
          </a:p>
        </c:txPr>
        <c:crossAx val="138128000"/>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99" b="1"/>
              <a:t>Thinking</a:t>
            </a:r>
            <a:r>
              <a:rPr lang="en-US" sz="1199" b="1" baseline="0"/>
              <a:t> about the amount of your income that you are currently saving, compared to before this most recent recession began, are you currently saving more of your income, saving less of your income, or saving about the same?</a:t>
            </a:r>
            <a:endParaRPr lang="en-US" sz="1200" b="1"/>
          </a:p>
        </c:rich>
      </c:tx>
      <c:overlay val="0"/>
    </c:title>
    <c:autoTitleDeleted val="0"/>
    <c:plotArea>
      <c:layout/>
      <c:barChart>
        <c:barDir val="col"/>
        <c:grouping val="clustered"/>
        <c:varyColors val="0"/>
        <c:ser>
          <c:idx val="0"/>
          <c:order val="0"/>
          <c:tx>
            <c:strRef>
              <c:f>Sheet1!$B$1</c:f>
              <c:strCache>
                <c:ptCount val="1"/>
                <c:pt idx="0">
                  <c:v>Jan'12</c:v>
                </c:pt>
              </c:strCache>
            </c:strRef>
          </c:tx>
          <c:invertIfNegative val="0"/>
          <c:cat>
            <c:strRef>
              <c:f>Sheet1!$A$2:$A$4</c:f>
              <c:strCache>
                <c:ptCount val="3"/>
                <c:pt idx="0">
                  <c:v>Saving Less</c:v>
                </c:pt>
                <c:pt idx="1">
                  <c:v>Saving the Same</c:v>
                </c:pt>
                <c:pt idx="2">
                  <c:v>Saving More</c:v>
                </c:pt>
              </c:strCache>
            </c:strRef>
          </c:cat>
          <c:val>
            <c:numRef>
              <c:f>Sheet1!$B$2:$B$4</c:f>
              <c:numCache>
                <c:formatCode>0%</c:formatCode>
                <c:ptCount val="3"/>
                <c:pt idx="0">
                  <c:v>0.39</c:v>
                </c:pt>
                <c:pt idx="1">
                  <c:v>0.36</c:v>
                </c:pt>
                <c:pt idx="2">
                  <c:v>0.26</c:v>
                </c:pt>
              </c:numCache>
            </c:numRef>
          </c:val>
        </c:ser>
        <c:ser>
          <c:idx val="1"/>
          <c:order val="1"/>
          <c:tx>
            <c:strRef>
              <c:f>Sheet1!$C$1</c:f>
              <c:strCache>
                <c:ptCount val="1"/>
                <c:pt idx="0">
                  <c:v>Apr'12</c:v>
                </c:pt>
              </c:strCache>
            </c:strRef>
          </c:tx>
          <c:spPr>
            <a:solidFill>
              <a:srgbClr val="C0504D">
                <a:lumMod val="60000"/>
                <a:lumOff val="40000"/>
              </a:srgbClr>
            </a:solidFill>
          </c:spPr>
          <c:invertIfNegative val="0"/>
          <c:cat>
            <c:strRef>
              <c:f>Sheet1!$A$2:$A$4</c:f>
              <c:strCache>
                <c:ptCount val="3"/>
                <c:pt idx="0">
                  <c:v>Saving Less</c:v>
                </c:pt>
                <c:pt idx="1">
                  <c:v>Saving the Same</c:v>
                </c:pt>
                <c:pt idx="2">
                  <c:v>Saving More</c:v>
                </c:pt>
              </c:strCache>
            </c:strRef>
          </c:cat>
          <c:val>
            <c:numRef>
              <c:f>Sheet1!$C$2:$C$4</c:f>
              <c:numCache>
                <c:formatCode>0%</c:formatCode>
                <c:ptCount val="3"/>
                <c:pt idx="0">
                  <c:v>0.33</c:v>
                </c:pt>
                <c:pt idx="1">
                  <c:v>0.37</c:v>
                </c:pt>
                <c:pt idx="2">
                  <c:v>0.3</c:v>
                </c:pt>
              </c:numCache>
            </c:numRef>
          </c:val>
        </c:ser>
        <c:ser>
          <c:idx val="2"/>
          <c:order val="2"/>
          <c:tx>
            <c:strRef>
              <c:f>Sheet1!$D$1</c:f>
              <c:strCache>
                <c:ptCount val="1"/>
                <c:pt idx="0">
                  <c:v>Sept'12</c:v>
                </c:pt>
              </c:strCache>
            </c:strRef>
          </c:tx>
          <c:spPr>
            <a:solidFill>
              <a:srgbClr val="9BBB59"/>
            </a:solidFill>
          </c:spPr>
          <c:invertIfNegative val="0"/>
          <c:cat>
            <c:strRef>
              <c:f>Sheet1!$A$2:$A$4</c:f>
              <c:strCache>
                <c:ptCount val="3"/>
                <c:pt idx="0">
                  <c:v>Saving Less</c:v>
                </c:pt>
                <c:pt idx="1">
                  <c:v>Saving the Same</c:v>
                </c:pt>
                <c:pt idx="2">
                  <c:v>Saving More</c:v>
                </c:pt>
              </c:strCache>
            </c:strRef>
          </c:cat>
          <c:val>
            <c:numRef>
              <c:f>Sheet1!$D$2:$D$4</c:f>
              <c:numCache>
                <c:formatCode>0%</c:formatCode>
                <c:ptCount val="3"/>
                <c:pt idx="0">
                  <c:v>0.36</c:v>
                </c:pt>
                <c:pt idx="1">
                  <c:v>0.38</c:v>
                </c:pt>
                <c:pt idx="2">
                  <c:v>0.26</c:v>
                </c:pt>
              </c:numCache>
            </c:numRef>
          </c:val>
        </c:ser>
        <c:ser>
          <c:idx val="3"/>
          <c:order val="3"/>
          <c:tx>
            <c:strRef>
              <c:f>Sheet1!$E$1</c:f>
              <c:strCache>
                <c:ptCount val="1"/>
                <c:pt idx="0">
                  <c:v>Nov'12</c:v>
                </c:pt>
              </c:strCache>
            </c:strRef>
          </c:tx>
          <c:spPr>
            <a:solidFill>
              <a:srgbClr val="C0504D"/>
            </a:solidFill>
          </c:spPr>
          <c:invertIfNegative val="0"/>
          <c:cat>
            <c:strRef>
              <c:f>Sheet1!$A$2:$A$4</c:f>
              <c:strCache>
                <c:ptCount val="3"/>
                <c:pt idx="0">
                  <c:v>Saving Less</c:v>
                </c:pt>
                <c:pt idx="1">
                  <c:v>Saving the Same</c:v>
                </c:pt>
                <c:pt idx="2">
                  <c:v>Saving More</c:v>
                </c:pt>
              </c:strCache>
            </c:strRef>
          </c:cat>
          <c:val>
            <c:numRef>
              <c:f>Sheet1!$E$2:$E$4</c:f>
              <c:numCache>
                <c:formatCode>0%</c:formatCode>
                <c:ptCount val="3"/>
                <c:pt idx="0">
                  <c:v>0.31</c:v>
                </c:pt>
                <c:pt idx="1">
                  <c:v>0.42</c:v>
                </c:pt>
                <c:pt idx="2">
                  <c:v>0.26</c:v>
                </c:pt>
              </c:numCache>
            </c:numRef>
          </c:val>
        </c:ser>
        <c:ser>
          <c:idx val="4"/>
          <c:order val="4"/>
          <c:tx>
            <c:strRef>
              <c:f>Sheet1!$F$1</c:f>
              <c:strCache>
                <c:ptCount val="1"/>
                <c:pt idx="0">
                  <c:v>Feb'13</c:v>
                </c:pt>
              </c:strCache>
            </c:strRef>
          </c:tx>
          <c:spPr>
            <a:solidFill>
              <a:srgbClr val="4BACC6"/>
            </a:solidFill>
          </c:spPr>
          <c:invertIfNegative val="0"/>
          <c:cat>
            <c:strRef>
              <c:f>Sheet1!$A$2:$A$4</c:f>
              <c:strCache>
                <c:ptCount val="3"/>
                <c:pt idx="0">
                  <c:v>Saving Less</c:v>
                </c:pt>
                <c:pt idx="1">
                  <c:v>Saving the Same</c:v>
                </c:pt>
                <c:pt idx="2">
                  <c:v>Saving More</c:v>
                </c:pt>
              </c:strCache>
            </c:strRef>
          </c:cat>
          <c:val>
            <c:numRef>
              <c:f>Sheet1!$F$2:$F$4</c:f>
              <c:numCache>
                <c:formatCode>0%</c:formatCode>
                <c:ptCount val="3"/>
                <c:pt idx="0">
                  <c:v>0.35</c:v>
                </c:pt>
                <c:pt idx="1">
                  <c:v>0.41</c:v>
                </c:pt>
                <c:pt idx="2">
                  <c:v>0.24</c:v>
                </c:pt>
              </c:numCache>
            </c:numRef>
          </c:val>
        </c:ser>
        <c:dLbls>
          <c:showLegendKey val="0"/>
          <c:showVal val="1"/>
          <c:showCatName val="0"/>
          <c:showSerName val="0"/>
          <c:showPercent val="0"/>
          <c:showBubbleSize val="0"/>
        </c:dLbls>
        <c:gapWidth val="150"/>
        <c:axId val="136476928"/>
        <c:axId val="136495104"/>
      </c:barChart>
      <c:catAx>
        <c:axId val="136476928"/>
        <c:scaling>
          <c:orientation val="minMax"/>
        </c:scaling>
        <c:delete val="0"/>
        <c:axPos val="b"/>
        <c:numFmt formatCode="General" sourceLinked="1"/>
        <c:majorTickMark val="out"/>
        <c:minorTickMark val="none"/>
        <c:tickLblPos val="nextTo"/>
        <c:txPr>
          <a:bodyPr/>
          <a:lstStyle/>
          <a:p>
            <a:pPr>
              <a:defRPr b="0"/>
            </a:pPr>
            <a:endParaRPr lang="en-US"/>
          </a:p>
        </c:txPr>
        <c:crossAx val="136495104"/>
        <c:crosses val="autoZero"/>
        <c:auto val="1"/>
        <c:lblAlgn val="ctr"/>
        <c:lblOffset val="100"/>
        <c:noMultiLvlLbl val="0"/>
      </c:catAx>
      <c:valAx>
        <c:axId val="136495104"/>
        <c:scaling>
          <c:orientation val="minMax"/>
        </c:scaling>
        <c:delete val="0"/>
        <c:axPos val="l"/>
        <c:numFmt formatCode="0%" sourceLinked="1"/>
        <c:majorTickMark val="out"/>
        <c:minorTickMark val="none"/>
        <c:tickLblPos val="nextTo"/>
        <c:txPr>
          <a:bodyPr/>
          <a:lstStyle/>
          <a:p>
            <a:pPr>
              <a:defRPr b="0"/>
            </a:pPr>
            <a:endParaRPr lang="en-US"/>
          </a:p>
        </c:txPr>
        <c:crossAx val="136476928"/>
        <c:crosses val="autoZero"/>
        <c:crossBetween val="between"/>
      </c:valAx>
    </c:plotArea>
    <c:legend>
      <c:legendPos val="t"/>
      <c:overlay val="0"/>
      <c:txPr>
        <a:bodyPr/>
        <a:lstStyle/>
        <a:p>
          <a:pPr>
            <a:defRPr sz="1199"/>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a:pPr>
            <a:r>
              <a:rPr lang="en-US" sz="1100" b="1"/>
              <a:t> </a:t>
            </a:r>
            <a:r>
              <a:rPr lang="en-US" sz="1200" b="1"/>
              <a:t>Looking ahead, do you think</a:t>
            </a:r>
            <a:r>
              <a:rPr lang="en-US" sz="1200" b="1" baseline="0"/>
              <a:t> that when the economy has completely recovered from this most recent that you will save more of your income than you are currently saving, save less of your income than you are currently saving, or save about the same?</a:t>
            </a:r>
            <a:endParaRPr lang="en-US" sz="1200" b="1"/>
          </a:p>
        </c:rich>
      </c:tx>
      <c:layout>
        <c:manualLayout>
          <c:xMode val="edge"/>
          <c:yMode val="edge"/>
          <c:x val="0.10710553970127625"/>
          <c:y val="0"/>
        </c:manualLayout>
      </c:layout>
      <c:overlay val="0"/>
    </c:title>
    <c:autoTitleDeleted val="0"/>
    <c:plotArea>
      <c:layout>
        <c:manualLayout>
          <c:layoutTarget val="inner"/>
          <c:xMode val="edge"/>
          <c:yMode val="edge"/>
          <c:x val="9.3516435445570575E-2"/>
          <c:y val="0.41576265191091832"/>
          <c:w val="0.87920181852269408"/>
          <c:h val="0.39711088556414997"/>
        </c:manualLayout>
      </c:layout>
      <c:barChart>
        <c:barDir val="col"/>
        <c:grouping val="clustered"/>
        <c:varyColors val="0"/>
        <c:ser>
          <c:idx val="0"/>
          <c:order val="0"/>
          <c:tx>
            <c:strRef>
              <c:f>Sheet1!$B$1</c:f>
              <c:strCache>
                <c:ptCount val="1"/>
                <c:pt idx="0">
                  <c:v>Jan'12</c:v>
                </c:pt>
              </c:strCache>
            </c:strRef>
          </c:tx>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Sheet1!$B$2:$B$4</c:f>
              <c:numCache>
                <c:formatCode>0%</c:formatCode>
                <c:ptCount val="3"/>
                <c:pt idx="0">
                  <c:v>0.06</c:v>
                </c:pt>
                <c:pt idx="1">
                  <c:v>0.48</c:v>
                </c:pt>
                <c:pt idx="2">
                  <c:v>0.46</c:v>
                </c:pt>
              </c:numCache>
            </c:numRef>
          </c:val>
        </c:ser>
        <c:ser>
          <c:idx val="1"/>
          <c:order val="1"/>
          <c:tx>
            <c:strRef>
              <c:f>Sheet1!$C$1</c:f>
              <c:strCache>
                <c:ptCount val="1"/>
                <c:pt idx="0">
                  <c:v>Apr'12</c:v>
                </c:pt>
              </c:strCache>
            </c:strRef>
          </c:tx>
          <c:spPr>
            <a:solidFill>
              <a:srgbClr val="C0504D">
                <a:lumMod val="60000"/>
                <a:lumOff val="40000"/>
              </a:srgbClr>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Sheet1!$C$2:$C$4</c:f>
              <c:numCache>
                <c:formatCode>0%</c:formatCode>
                <c:ptCount val="3"/>
                <c:pt idx="0">
                  <c:v>0.08</c:v>
                </c:pt>
                <c:pt idx="1">
                  <c:v>0.44</c:v>
                </c:pt>
                <c:pt idx="2">
                  <c:v>0.48</c:v>
                </c:pt>
              </c:numCache>
            </c:numRef>
          </c:val>
        </c:ser>
        <c:ser>
          <c:idx val="2"/>
          <c:order val="2"/>
          <c:tx>
            <c:strRef>
              <c:f>Sheet1!$D$1</c:f>
              <c:strCache>
                <c:ptCount val="1"/>
                <c:pt idx="0">
                  <c:v>Sept'12</c:v>
                </c:pt>
              </c:strCache>
            </c:strRef>
          </c:tx>
          <c:spPr>
            <a:solidFill>
              <a:srgbClr val="9BBB59"/>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Sheet1!$D$2:$D$4</c:f>
              <c:numCache>
                <c:formatCode>0%</c:formatCode>
                <c:ptCount val="3"/>
                <c:pt idx="0">
                  <c:v>7.0000000000000007E-2</c:v>
                </c:pt>
                <c:pt idx="1">
                  <c:v>0.46</c:v>
                </c:pt>
                <c:pt idx="2">
                  <c:v>0.47</c:v>
                </c:pt>
              </c:numCache>
            </c:numRef>
          </c:val>
        </c:ser>
        <c:ser>
          <c:idx val="3"/>
          <c:order val="3"/>
          <c:tx>
            <c:strRef>
              <c:f>Sheet1!$E$1</c:f>
              <c:strCache>
                <c:ptCount val="1"/>
                <c:pt idx="0">
                  <c:v>Nov'12</c:v>
                </c:pt>
              </c:strCache>
            </c:strRef>
          </c:tx>
          <c:spPr>
            <a:solidFill>
              <a:srgbClr val="C0504D"/>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Sheet1!$E$2:$E$4</c:f>
              <c:numCache>
                <c:formatCode>0%</c:formatCode>
                <c:ptCount val="3"/>
                <c:pt idx="0">
                  <c:v>0.12</c:v>
                </c:pt>
                <c:pt idx="1">
                  <c:v>0.41</c:v>
                </c:pt>
                <c:pt idx="2">
                  <c:v>0.47</c:v>
                </c:pt>
              </c:numCache>
            </c:numRef>
          </c:val>
        </c:ser>
        <c:ser>
          <c:idx val="4"/>
          <c:order val="4"/>
          <c:tx>
            <c:strRef>
              <c:f>Sheet1!$F$1</c:f>
              <c:strCache>
                <c:ptCount val="1"/>
                <c:pt idx="0">
                  <c:v>Feb'13</c:v>
                </c:pt>
              </c:strCache>
            </c:strRef>
          </c:tx>
          <c:spPr>
            <a:solidFill>
              <a:srgbClr val="4BACC6"/>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Sheet1!$F$2:$F$4</c:f>
              <c:numCache>
                <c:formatCode>0%</c:formatCode>
                <c:ptCount val="3"/>
                <c:pt idx="0">
                  <c:v>0.13</c:v>
                </c:pt>
                <c:pt idx="1">
                  <c:v>0.43</c:v>
                </c:pt>
                <c:pt idx="2">
                  <c:v>0.44</c:v>
                </c:pt>
              </c:numCache>
            </c:numRef>
          </c:val>
        </c:ser>
        <c:dLbls>
          <c:showLegendKey val="0"/>
          <c:showVal val="1"/>
          <c:showCatName val="0"/>
          <c:showSerName val="0"/>
          <c:showPercent val="0"/>
          <c:showBubbleSize val="0"/>
        </c:dLbls>
        <c:gapWidth val="150"/>
        <c:axId val="145229312"/>
        <c:axId val="145230848"/>
      </c:barChart>
      <c:catAx>
        <c:axId val="145229312"/>
        <c:scaling>
          <c:orientation val="minMax"/>
        </c:scaling>
        <c:delete val="0"/>
        <c:axPos val="b"/>
        <c:numFmt formatCode="General" sourceLinked="1"/>
        <c:majorTickMark val="out"/>
        <c:minorTickMark val="none"/>
        <c:tickLblPos val="nextTo"/>
        <c:txPr>
          <a:bodyPr/>
          <a:lstStyle/>
          <a:p>
            <a:pPr>
              <a:defRPr b="1"/>
            </a:pPr>
            <a:endParaRPr lang="en-US"/>
          </a:p>
        </c:txPr>
        <c:crossAx val="145230848"/>
        <c:crosses val="autoZero"/>
        <c:auto val="1"/>
        <c:lblAlgn val="ctr"/>
        <c:lblOffset val="100"/>
        <c:noMultiLvlLbl val="0"/>
      </c:catAx>
      <c:valAx>
        <c:axId val="145230848"/>
        <c:scaling>
          <c:orientation val="minMax"/>
        </c:scaling>
        <c:delete val="0"/>
        <c:axPos val="l"/>
        <c:numFmt formatCode="0%" sourceLinked="1"/>
        <c:majorTickMark val="out"/>
        <c:minorTickMark val="none"/>
        <c:tickLblPos val="nextTo"/>
        <c:txPr>
          <a:bodyPr/>
          <a:lstStyle/>
          <a:p>
            <a:pPr>
              <a:defRPr b="1"/>
            </a:pPr>
            <a:endParaRPr lang="en-US"/>
          </a:p>
        </c:txPr>
        <c:crossAx val="145229312"/>
        <c:crosses val="autoZero"/>
        <c:crossBetween val="between"/>
      </c:valAx>
    </c:plotArea>
    <c:legend>
      <c:legendPos val="t"/>
      <c:layout>
        <c:manualLayout>
          <c:xMode val="edge"/>
          <c:yMode val="edge"/>
          <c:x val="0.16684947600791339"/>
          <c:y val="0.30405445673361348"/>
          <c:w val="0.63668566787876046"/>
          <c:h val="7.5698729550921287E-2"/>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Jan'12</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0.28999999999999998</c:v>
                </c:pt>
                <c:pt idx="1">
                  <c:v>0.48</c:v>
                </c:pt>
                <c:pt idx="2">
                  <c:v>0.24</c:v>
                </c:pt>
              </c:numCache>
            </c:numRef>
          </c:val>
        </c:ser>
        <c:ser>
          <c:idx val="1"/>
          <c:order val="1"/>
          <c:tx>
            <c:strRef>
              <c:f>Sheet1!$C$1</c:f>
              <c:strCache>
                <c:ptCount val="1"/>
                <c:pt idx="0">
                  <c:v>Apr'12</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0.25</c:v>
                </c:pt>
                <c:pt idx="1">
                  <c:v>0.44</c:v>
                </c:pt>
                <c:pt idx="2">
                  <c:v>0.31</c:v>
                </c:pt>
              </c:numCache>
            </c:numRef>
          </c:val>
        </c:ser>
        <c:ser>
          <c:idx val="2"/>
          <c:order val="2"/>
          <c:tx>
            <c:strRef>
              <c:f>Sheet1!$D$1</c:f>
              <c:strCache>
                <c:ptCount val="1"/>
                <c:pt idx="0">
                  <c:v>Sept'12</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0.26</c:v>
                </c:pt>
                <c:pt idx="1">
                  <c:v>0.43</c:v>
                </c:pt>
                <c:pt idx="2">
                  <c:v>0.31</c:v>
                </c:pt>
              </c:numCache>
            </c:numRef>
          </c:val>
        </c:ser>
        <c:ser>
          <c:idx val="3"/>
          <c:order val="3"/>
          <c:tx>
            <c:strRef>
              <c:f>Sheet1!$E$1</c:f>
              <c:strCache>
                <c:ptCount val="1"/>
                <c:pt idx="0">
                  <c:v>Nov'12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0.28999999999999998</c:v>
                </c:pt>
                <c:pt idx="1">
                  <c:v>0.45</c:v>
                </c:pt>
                <c:pt idx="2">
                  <c:v>0.26</c:v>
                </c:pt>
              </c:numCache>
            </c:numRef>
          </c:val>
        </c:ser>
        <c:ser>
          <c:idx val="4"/>
          <c:order val="4"/>
          <c:tx>
            <c:strRef>
              <c:f>Sheet1!$F$1</c:f>
              <c:strCache>
                <c:ptCount val="1"/>
                <c:pt idx="0">
                  <c:v>Feb'13</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0.33</c:v>
                </c:pt>
                <c:pt idx="1">
                  <c:v>0.46</c:v>
                </c:pt>
                <c:pt idx="2">
                  <c:v>0.21</c:v>
                </c:pt>
              </c:numCache>
            </c:numRef>
          </c:val>
        </c:ser>
        <c:dLbls>
          <c:showLegendKey val="0"/>
          <c:showVal val="1"/>
          <c:showCatName val="0"/>
          <c:showSerName val="0"/>
          <c:showPercent val="0"/>
          <c:showBubbleSize val="0"/>
        </c:dLbls>
        <c:gapWidth val="150"/>
        <c:axId val="145338752"/>
        <c:axId val="145340288"/>
      </c:barChart>
      <c:catAx>
        <c:axId val="145338752"/>
        <c:scaling>
          <c:orientation val="minMax"/>
        </c:scaling>
        <c:delete val="0"/>
        <c:axPos val="b"/>
        <c:numFmt formatCode="General" sourceLinked="1"/>
        <c:majorTickMark val="out"/>
        <c:minorTickMark val="none"/>
        <c:tickLblPos val="nextTo"/>
        <c:txPr>
          <a:bodyPr/>
          <a:lstStyle/>
          <a:p>
            <a:pPr>
              <a:defRPr b="0"/>
            </a:pPr>
            <a:endParaRPr lang="en-US"/>
          </a:p>
        </c:txPr>
        <c:crossAx val="145340288"/>
        <c:crosses val="autoZero"/>
        <c:auto val="1"/>
        <c:lblAlgn val="ctr"/>
        <c:lblOffset val="100"/>
        <c:noMultiLvlLbl val="0"/>
      </c:catAx>
      <c:valAx>
        <c:axId val="145340288"/>
        <c:scaling>
          <c:orientation val="minMax"/>
        </c:scaling>
        <c:delete val="0"/>
        <c:axPos val="l"/>
        <c:numFmt formatCode="0%" sourceLinked="1"/>
        <c:majorTickMark val="out"/>
        <c:minorTickMark val="none"/>
        <c:tickLblPos val="nextTo"/>
        <c:txPr>
          <a:bodyPr/>
          <a:lstStyle/>
          <a:p>
            <a:pPr>
              <a:defRPr b="0"/>
            </a:pPr>
            <a:endParaRPr lang="en-US"/>
          </a:p>
        </c:txPr>
        <c:crossAx val="145338752"/>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Sheet1!$B$1:$BJ$1</c:f>
              <c:strCache>
                <c:ptCount val="61"/>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strCache>
            </c:strRef>
          </c:cat>
          <c:val>
            <c:numRef>
              <c:f>Sheet1!$B$2:$BJ$2</c:f>
              <c:numCache>
                <c:formatCode>General</c:formatCode>
                <c:ptCount val="61"/>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numCache>
            </c:numRef>
          </c:val>
          <c:smooth val="0"/>
        </c:ser>
        <c:ser>
          <c:idx val="1"/>
          <c:order val="1"/>
          <c:tx>
            <c:strRef>
              <c:f>Sheet1!$A$3</c:f>
              <c:strCache>
                <c:ptCount val="1"/>
                <c:pt idx="0">
                  <c:v>Current Sit. Index</c:v>
                </c:pt>
              </c:strCache>
            </c:strRef>
          </c:tx>
          <c:marker>
            <c:symbol val="square"/>
            <c:size val="7"/>
          </c:marker>
          <c:cat>
            <c:strRef>
              <c:f>Sheet1!$B$1:$BJ$1</c:f>
              <c:strCache>
                <c:ptCount val="61"/>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strCache>
            </c:strRef>
          </c:cat>
          <c:val>
            <c:numRef>
              <c:f>Sheet1!$B$3:$BJ$3</c:f>
              <c:numCache>
                <c:formatCode>General</c:formatCode>
                <c:ptCount val="61"/>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numCache>
            </c:numRef>
          </c:val>
          <c:smooth val="0"/>
        </c:ser>
        <c:ser>
          <c:idx val="2"/>
          <c:order val="2"/>
          <c:tx>
            <c:strRef>
              <c:f>Sheet1!$A$4</c:f>
              <c:strCache>
                <c:ptCount val="1"/>
                <c:pt idx="0">
                  <c:v>Future Exp. Index</c:v>
                </c:pt>
              </c:strCache>
            </c:strRef>
          </c:tx>
          <c:marker>
            <c:spPr>
              <a:solidFill>
                <a:srgbClr val="00B050"/>
              </a:solidFill>
            </c:spPr>
          </c:marker>
          <c:cat>
            <c:strRef>
              <c:f>Sheet1!$B$1:$BJ$1</c:f>
              <c:strCache>
                <c:ptCount val="61"/>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strCache>
            </c:strRef>
          </c:cat>
          <c:val>
            <c:numRef>
              <c:f>Sheet1!$B$4:$BJ$4</c:f>
              <c:numCache>
                <c:formatCode>General</c:formatCode>
                <c:ptCount val="61"/>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Sheet1!$B$1:$BJ$1</c:f>
              <c:strCache>
                <c:ptCount val="61"/>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strCache>
            </c:strRef>
          </c:cat>
          <c:val>
            <c:numRef>
              <c:f>Sheet1!$B$5:$BJ$5</c:f>
              <c:numCache>
                <c:formatCode>General</c:formatCode>
                <c:ptCount val="61"/>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numCache>
            </c:numRef>
          </c:val>
          <c:smooth val="0"/>
        </c:ser>
        <c:dLbls>
          <c:showLegendKey val="0"/>
          <c:showVal val="0"/>
          <c:showCatName val="0"/>
          <c:showSerName val="0"/>
          <c:showPercent val="0"/>
          <c:showBubbleSize val="0"/>
        </c:dLbls>
        <c:marker val="1"/>
        <c:smooth val="0"/>
        <c:axId val="146088320"/>
        <c:axId val="146090240"/>
      </c:lineChart>
      <c:catAx>
        <c:axId val="146088320"/>
        <c:scaling>
          <c:orientation val="minMax"/>
        </c:scaling>
        <c:delete val="0"/>
        <c:axPos val="b"/>
        <c:majorTickMark val="out"/>
        <c:minorTickMark val="none"/>
        <c:tickLblPos val="nextTo"/>
        <c:txPr>
          <a:bodyPr/>
          <a:lstStyle/>
          <a:p>
            <a:pPr>
              <a:defRPr sz="800"/>
            </a:pPr>
            <a:endParaRPr lang="en-US"/>
          </a:p>
        </c:txPr>
        <c:crossAx val="146090240"/>
        <c:crosses val="autoZero"/>
        <c:auto val="1"/>
        <c:lblAlgn val="ctr"/>
        <c:lblOffset val="100"/>
        <c:noMultiLvlLbl val="0"/>
      </c:catAx>
      <c:valAx>
        <c:axId val="146090240"/>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46088320"/>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2EA4C-CE99-4542-98BE-E7E8D4C9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15864</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32</cp:revision>
  <cp:lastPrinted>2013-02-01T17:45:00Z</cp:lastPrinted>
  <dcterms:created xsi:type="dcterms:W3CDTF">2013-01-31T19:18:00Z</dcterms:created>
  <dcterms:modified xsi:type="dcterms:W3CDTF">2013-02-01T18:07:00Z</dcterms:modified>
</cp:coreProperties>
</file>