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83" w:rsidRPr="007F325D" w:rsidRDefault="007F325D" w:rsidP="007F325D">
      <w:pPr>
        <w:autoSpaceDE w:val="0"/>
        <w:autoSpaceDN w:val="0"/>
        <w:adjustRightInd w:val="0"/>
        <w:rPr>
          <w:rFonts w:ascii="Americana BT" w:hAnsi="Americana BT" w:cs="Arial"/>
          <w:b/>
          <w:sz w:val="36"/>
          <w:szCs w:val="36"/>
        </w:rPr>
      </w:pPr>
      <w:r w:rsidRPr="007F325D">
        <w:rPr>
          <w:rFonts w:ascii="Americana BT" w:hAnsi="Americana BT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5568" cy="1188720"/>
            <wp:effectExtent l="0" t="0" r="0" b="0"/>
            <wp:wrapTight wrapText="bothSides">
              <wp:wrapPolygon edited="0">
                <wp:start x="0" y="0"/>
                <wp:lineTo x="0" y="21115"/>
                <wp:lineTo x="21403" y="21115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TOO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25D">
        <w:rPr>
          <w:rFonts w:ascii="Americana BT" w:hAnsi="Americana BT" w:cs="Arial"/>
          <w:b/>
          <w:sz w:val="36"/>
          <w:szCs w:val="36"/>
        </w:rPr>
        <w:t xml:space="preserve">USEFUL TERMS AND </w:t>
      </w:r>
      <w:r w:rsidR="002E7B83" w:rsidRPr="007F325D">
        <w:rPr>
          <w:rFonts w:ascii="Americana BT" w:hAnsi="Americana BT" w:cs="Arial"/>
          <w:b/>
          <w:sz w:val="36"/>
          <w:szCs w:val="36"/>
        </w:rPr>
        <w:t>ABBREVIATIONS</w:t>
      </w:r>
    </w:p>
    <w:p w:rsidR="002E7B83" w:rsidRPr="00A50EDC" w:rsidRDefault="002E7B83" w:rsidP="0041482F">
      <w:pPr>
        <w:autoSpaceDE w:val="0"/>
        <w:autoSpaceDN w:val="0"/>
        <w:adjustRightInd w:val="0"/>
        <w:rPr>
          <w:rFonts w:ascii="Americana BT" w:hAnsi="Americana BT" w:cs="Arial"/>
          <w:b/>
          <w:sz w:val="40"/>
          <w:szCs w:val="36"/>
        </w:rPr>
      </w:pPr>
    </w:p>
    <w:p w:rsidR="0039023C" w:rsidRDefault="002E7B83" w:rsidP="0039023C">
      <w:pPr>
        <w:tabs>
          <w:tab w:val="left" w:pos="1496"/>
        </w:tabs>
        <w:autoSpaceDE w:val="0"/>
        <w:autoSpaceDN w:val="0"/>
        <w:adjustRightInd w:val="0"/>
        <w:ind w:left="216"/>
        <w:jc w:val="center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</w:rPr>
        <w:t xml:space="preserve">Abbreviations for </w:t>
      </w:r>
      <w:r w:rsidRPr="00A50EDC">
        <w:rPr>
          <w:rFonts w:asciiTheme="majorHAnsi" w:hAnsiTheme="majorHAnsi" w:cs="Arial"/>
          <w:b/>
        </w:rPr>
        <w:t>days of the week</w:t>
      </w:r>
      <w:r w:rsidRPr="00A50EDC">
        <w:rPr>
          <w:rFonts w:asciiTheme="majorHAnsi" w:hAnsiTheme="majorHAnsi" w:cs="Arial"/>
        </w:rPr>
        <w:t xml:space="preserve"> on university schedules:</w:t>
      </w:r>
      <w:r w:rsidR="0039023C">
        <w:rPr>
          <w:rFonts w:asciiTheme="majorHAnsi" w:hAnsiTheme="majorHAnsi" w:cs="Arial"/>
        </w:rPr>
        <w:t xml:space="preserve">  </w:t>
      </w:r>
      <w:r w:rsidR="002775BE">
        <w:rPr>
          <w:rFonts w:asciiTheme="majorHAnsi" w:hAnsiTheme="majorHAnsi" w:cs="Arial"/>
        </w:rPr>
        <w:t xml:space="preserve">M = Monday,  </w:t>
      </w:r>
    </w:p>
    <w:p w:rsidR="00EA73A6" w:rsidRDefault="002E7B83" w:rsidP="0039023C">
      <w:pPr>
        <w:tabs>
          <w:tab w:val="left" w:pos="1496"/>
        </w:tabs>
        <w:autoSpaceDE w:val="0"/>
        <w:autoSpaceDN w:val="0"/>
        <w:adjustRightInd w:val="0"/>
        <w:ind w:left="216"/>
        <w:jc w:val="center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</w:rPr>
        <w:t>T = Tuesday</w:t>
      </w:r>
      <w:proofErr w:type="gramStart"/>
      <w:r w:rsidRPr="00A50EDC">
        <w:rPr>
          <w:rFonts w:asciiTheme="majorHAnsi" w:hAnsiTheme="majorHAnsi" w:cs="Arial"/>
        </w:rPr>
        <w:t>,  W</w:t>
      </w:r>
      <w:proofErr w:type="gramEnd"/>
      <w:r w:rsidRPr="00A50EDC">
        <w:rPr>
          <w:rFonts w:asciiTheme="majorHAnsi" w:hAnsiTheme="majorHAnsi" w:cs="Arial"/>
        </w:rPr>
        <w:t xml:space="preserve"> = Wednesday,  R = Thur</w:t>
      </w:r>
      <w:r w:rsidR="00EA73A6" w:rsidRPr="00A50EDC">
        <w:rPr>
          <w:rFonts w:asciiTheme="majorHAnsi" w:hAnsiTheme="majorHAnsi" w:cs="Arial"/>
        </w:rPr>
        <w:t xml:space="preserve">sday,  F = Friday,  </w:t>
      </w:r>
      <w:r w:rsidR="0039023C">
        <w:rPr>
          <w:rFonts w:asciiTheme="majorHAnsi" w:hAnsiTheme="majorHAnsi" w:cs="Arial"/>
        </w:rPr>
        <w:t xml:space="preserve"> </w:t>
      </w:r>
      <w:r w:rsidR="00EA73A6" w:rsidRPr="00A50EDC">
        <w:rPr>
          <w:rFonts w:asciiTheme="majorHAnsi" w:hAnsiTheme="majorHAnsi" w:cs="Arial"/>
        </w:rPr>
        <w:t>S = Saturday</w:t>
      </w:r>
    </w:p>
    <w:p w:rsidR="0039023C" w:rsidRPr="0039023C" w:rsidRDefault="0039023C" w:rsidP="0039023C">
      <w:pPr>
        <w:tabs>
          <w:tab w:val="left" w:pos="1496"/>
        </w:tabs>
        <w:autoSpaceDE w:val="0"/>
        <w:autoSpaceDN w:val="0"/>
        <w:adjustRightInd w:val="0"/>
        <w:ind w:left="216"/>
        <w:jc w:val="center"/>
        <w:rPr>
          <w:rFonts w:asciiTheme="majorHAnsi" w:hAnsiTheme="majorHAnsi" w:cs="Arial"/>
        </w:rPr>
      </w:pPr>
    </w:p>
    <w:p w:rsidR="00A96017" w:rsidRPr="00571CE3" w:rsidRDefault="00EA73A6" w:rsidP="00A50EDC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571CE3">
        <w:rPr>
          <w:rFonts w:asciiTheme="majorHAnsi" w:hAnsiTheme="majorHAnsi" w:cs="Arial"/>
          <w:b/>
        </w:rPr>
        <w:t>Academic Advisor.</w:t>
      </w:r>
      <w:r w:rsidRPr="00571CE3">
        <w:rPr>
          <w:rFonts w:asciiTheme="majorHAnsi" w:hAnsiTheme="majorHAnsi" w:cs="Arial"/>
        </w:rPr>
        <w:t xml:space="preserve"> A professor assigned to you by the department when you declare that you are </w:t>
      </w:r>
      <w:r w:rsidR="00366652" w:rsidRPr="00571CE3">
        <w:rPr>
          <w:rFonts w:asciiTheme="majorHAnsi" w:hAnsiTheme="majorHAnsi" w:cs="Arial"/>
        </w:rPr>
        <w:t>a</w:t>
      </w:r>
      <w:r w:rsidRPr="00571CE3">
        <w:rPr>
          <w:rFonts w:asciiTheme="majorHAnsi" w:hAnsiTheme="majorHAnsi" w:cs="Arial"/>
        </w:rPr>
        <w:t xml:space="preserve"> major</w:t>
      </w:r>
      <w:r w:rsidR="00366652" w:rsidRPr="00571CE3">
        <w:rPr>
          <w:rFonts w:asciiTheme="majorHAnsi" w:hAnsiTheme="majorHAnsi" w:cs="Arial"/>
        </w:rPr>
        <w:t xml:space="preserve"> or minor. T</w:t>
      </w:r>
      <w:r w:rsidRPr="00571CE3">
        <w:rPr>
          <w:rFonts w:asciiTheme="majorHAnsi" w:hAnsiTheme="majorHAnsi" w:cs="Arial"/>
        </w:rPr>
        <w:t xml:space="preserve">his professor is the person you go to before pre-registration each semester and when you have questions during the semester.  </w:t>
      </w:r>
      <w:r w:rsidR="00571CE3">
        <w:rPr>
          <w:rFonts w:asciiTheme="majorHAnsi" w:hAnsiTheme="majorHAnsi" w:cs="Arial"/>
        </w:rPr>
        <w:br/>
      </w:r>
    </w:p>
    <w:p w:rsidR="00A96017" w:rsidRPr="00A50EDC" w:rsidRDefault="00A96017" w:rsidP="007C0CA4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AY.</w:t>
      </w:r>
      <w:r w:rsidRPr="00A50EDC">
        <w:rPr>
          <w:rFonts w:asciiTheme="majorHAnsi" w:hAnsiTheme="majorHAnsi" w:cs="Arial"/>
        </w:rPr>
        <w:t xml:space="preserve"> Academic Year.  Typically runs from August to August. (For example, 2012-13 refers to fall 2012, spring 2013 and summer 2013.)</w:t>
      </w:r>
    </w:p>
    <w:p w:rsidR="00E8688D" w:rsidRPr="00A50EDC" w:rsidRDefault="00E8688D" w:rsidP="00E8688D">
      <w:pPr>
        <w:tabs>
          <w:tab w:val="left" w:pos="1496"/>
        </w:tabs>
        <w:autoSpaceDE w:val="0"/>
        <w:autoSpaceDN w:val="0"/>
        <w:adjustRightInd w:val="0"/>
        <w:ind w:left="216"/>
        <w:rPr>
          <w:rFonts w:asciiTheme="majorHAnsi" w:hAnsiTheme="majorHAnsi" w:cs="Arial"/>
        </w:rPr>
      </w:pPr>
    </w:p>
    <w:p w:rsidR="00A50EDC" w:rsidRPr="00A50EDC" w:rsidRDefault="00E8688D" w:rsidP="00571CE3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Adding and dropping.</w:t>
      </w:r>
      <w:r w:rsidRPr="00A50EDC">
        <w:rPr>
          <w:rFonts w:asciiTheme="majorHAnsi" w:hAnsiTheme="majorHAnsi" w:cs="Arial"/>
        </w:rPr>
        <w:t xml:space="preserve">  Registering for or wit</w:t>
      </w:r>
      <w:r w:rsidR="000B1489" w:rsidRPr="00A50EDC">
        <w:rPr>
          <w:rFonts w:asciiTheme="majorHAnsi" w:hAnsiTheme="majorHAnsi" w:cs="Arial"/>
        </w:rPr>
        <w:t xml:space="preserve">hdrawing from one course at a time. </w:t>
      </w:r>
      <w:r w:rsidR="00E9205A">
        <w:rPr>
          <w:rFonts w:asciiTheme="majorHAnsi" w:hAnsiTheme="majorHAnsi" w:cs="Arial"/>
        </w:rPr>
        <w:t xml:space="preserve"> </w:t>
      </w:r>
      <w:r w:rsidR="00571CE3">
        <w:rPr>
          <w:rFonts w:asciiTheme="majorHAnsi" w:hAnsiTheme="majorHAnsi" w:cs="Arial"/>
        </w:rPr>
        <w:t xml:space="preserve"> </w:t>
      </w:r>
      <w:r w:rsidR="00571CE3">
        <w:rPr>
          <w:rFonts w:asciiTheme="majorHAnsi" w:hAnsiTheme="majorHAnsi" w:cs="Arial"/>
        </w:rPr>
        <w:br/>
      </w:r>
    </w:p>
    <w:p w:rsidR="00EA73A6" w:rsidRDefault="00EA73A6" w:rsidP="00EA73A6">
      <w:pPr>
        <w:numPr>
          <w:ilvl w:val="0"/>
          <w:numId w:val="1"/>
        </w:numPr>
        <w:tabs>
          <w:tab w:val="clear" w:pos="144"/>
          <w:tab w:val="num" w:pos="187"/>
        </w:tabs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r w:rsidRPr="00E95341">
        <w:rPr>
          <w:rFonts w:asciiTheme="majorHAnsi" w:hAnsiTheme="majorHAnsi" w:cs="Arial"/>
          <w:b/>
        </w:rPr>
        <w:t>Corequisite</w:t>
      </w:r>
      <w:proofErr w:type="spellEnd"/>
      <w:r w:rsidRPr="00E95341">
        <w:rPr>
          <w:rFonts w:asciiTheme="majorHAnsi" w:hAnsiTheme="majorHAnsi" w:cs="Arial"/>
          <w:b/>
        </w:rPr>
        <w:t xml:space="preserve">. </w:t>
      </w:r>
      <w:r w:rsidRPr="00E95341">
        <w:rPr>
          <w:rFonts w:asciiTheme="majorHAnsi" w:hAnsiTheme="majorHAnsi" w:cs="Arial"/>
        </w:rPr>
        <w:t xml:space="preserve">A course that must be taken simultaneously with another course. </w:t>
      </w:r>
      <w:r w:rsidR="00571CE3">
        <w:rPr>
          <w:rFonts w:asciiTheme="majorHAnsi" w:hAnsiTheme="majorHAnsi" w:cs="Arial"/>
        </w:rPr>
        <w:br/>
      </w:r>
    </w:p>
    <w:p w:rsidR="00571CE3" w:rsidRPr="0039023C" w:rsidRDefault="00571CE3" w:rsidP="00EA73A6">
      <w:pPr>
        <w:numPr>
          <w:ilvl w:val="0"/>
          <w:numId w:val="1"/>
        </w:numPr>
        <w:tabs>
          <w:tab w:val="clear" w:pos="144"/>
          <w:tab w:val="num" w:pos="187"/>
        </w:tabs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CRN.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/>
          <w:color w:val="000000"/>
        </w:rPr>
        <w:t xml:space="preserve"> C</w:t>
      </w:r>
      <w:r w:rsidRPr="00571CE3">
        <w:rPr>
          <w:rFonts w:asciiTheme="majorHAnsi" w:hAnsiTheme="majorHAnsi"/>
          <w:color w:val="000000"/>
        </w:rPr>
        <w:t xml:space="preserve">ourse reference number. It is a five-digit code that is unique to every course section and is entered into </w:t>
      </w:r>
      <w:proofErr w:type="spellStart"/>
      <w:r w:rsidRPr="00571CE3">
        <w:rPr>
          <w:rFonts w:asciiTheme="majorHAnsi" w:hAnsiTheme="majorHAnsi"/>
          <w:color w:val="000000"/>
        </w:rPr>
        <w:t>RaiderNet</w:t>
      </w:r>
      <w:proofErr w:type="spellEnd"/>
      <w:r w:rsidRPr="00571CE3">
        <w:rPr>
          <w:rFonts w:asciiTheme="majorHAnsi" w:hAnsiTheme="majorHAnsi"/>
          <w:color w:val="000000"/>
        </w:rPr>
        <w:t xml:space="preserve"> from the Registration menu on the Add or Drop page.</w:t>
      </w:r>
      <w:r w:rsidR="0039023C">
        <w:rPr>
          <w:rFonts w:asciiTheme="majorHAnsi" w:hAnsiTheme="majorHAnsi"/>
          <w:color w:val="000000"/>
        </w:rPr>
        <w:br/>
      </w:r>
    </w:p>
    <w:p w:rsidR="0039023C" w:rsidRDefault="0039023C" w:rsidP="00EA73A6">
      <w:pPr>
        <w:numPr>
          <w:ilvl w:val="0"/>
          <w:numId w:val="1"/>
        </w:numPr>
        <w:tabs>
          <w:tab w:val="clear" w:pos="144"/>
          <w:tab w:val="num" w:pos="187"/>
        </w:tabs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Course section.</w:t>
      </w:r>
      <w:r>
        <w:rPr>
          <w:rFonts w:asciiTheme="majorHAnsi" w:hAnsiTheme="majorHAnsi" w:cs="Arial"/>
        </w:rPr>
        <w:t xml:space="preserve">  Each different class of a particular course is called a section. Each section has an identifying number (and sometimes a letter) to distinguish it from other sections of the same course in a given semester</w:t>
      </w:r>
      <w:proofErr w:type="gramStart"/>
      <w:r>
        <w:rPr>
          <w:rFonts w:asciiTheme="majorHAnsi" w:hAnsiTheme="majorHAnsi" w:cs="Arial"/>
        </w:rPr>
        <w:t>,  (</w:t>
      </w:r>
      <w:proofErr w:type="gramEnd"/>
      <w:r>
        <w:rPr>
          <w:rFonts w:asciiTheme="majorHAnsi" w:hAnsiTheme="majorHAnsi" w:cs="Arial"/>
        </w:rPr>
        <w:t>Examples: English 1010:001, English 1010:006 and English 1010:R01 are different sections of English 1010. They all satisfy the same requirement.)</w:t>
      </w:r>
    </w:p>
    <w:p w:rsidR="00E95341" w:rsidRPr="00E95341" w:rsidRDefault="00E95341" w:rsidP="00E95341">
      <w:pPr>
        <w:autoSpaceDE w:val="0"/>
        <w:autoSpaceDN w:val="0"/>
        <w:adjustRightInd w:val="0"/>
        <w:ind w:left="216"/>
        <w:rPr>
          <w:rFonts w:asciiTheme="majorHAnsi" w:hAnsiTheme="majorHAnsi" w:cs="Arial"/>
        </w:rPr>
      </w:pPr>
    </w:p>
    <w:p w:rsidR="00EA73A6" w:rsidRPr="00A50EDC" w:rsidRDefault="00EA73A6" w:rsidP="002E7B83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 xml:space="preserve"> Credit hour.</w:t>
      </w:r>
      <w:r w:rsidRPr="00A50EDC">
        <w:rPr>
          <w:rFonts w:asciiTheme="majorHAnsi" w:hAnsiTheme="majorHAnsi" w:cs="Arial"/>
        </w:rPr>
        <w:t xml:space="preserve"> A unit of academic credit.  Typically it represents the number of hours of classroom instruction per week during a regular semester.  </w:t>
      </w:r>
      <w:r w:rsidR="00A50EDC">
        <w:rPr>
          <w:rFonts w:asciiTheme="majorHAnsi" w:hAnsiTheme="majorHAnsi" w:cs="Arial"/>
        </w:rPr>
        <w:t>Sometimes ref</w:t>
      </w:r>
      <w:r w:rsidR="00571CE3">
        <w:rPr>
          <w:rFonts w:asciiTheme="majorHAnsi" w:hAnsiTheme="majorHAnsi" w:cs="Arial"/>
        </w:rPr>
        <w:t>erred to as “hour” or “hours</w:t>
      </w:r>
      <w:r w:rsidR="007303AD">
        <w:rPr>
          <w:rFonts w:asciiTheme="majorHAnsi" w:hAnsiTheme="majorHAnsi" w:cs="Arial"/>
        </w:rPr>
        <w:t>.</w:t>
      </w:r>
      <w:r w:rsidR="00571CE3">
        <w:rPr>
          <w:rFonts w:asciiTheme="majorHAnsi" w:hAnsiTheme="majorHAnsi" w:cs="Arial"/>
        </w:rPr>
        <w:t>” (</w:t>
      </w:r>
      <w:r w:rsidR="00A50EDC">
        <w:rPr>
          <w:rFonts w:asciiTheme="majorHAnsi" w:hAnsiTheme="majorHAnsi" w:cs="Arial"/>
        </w:rPr>
        <w:t>Example:  “I’m taking 15 hours each semester.”)</w:t>
      </w:r>
    </w:p>
    <w:p w:rsidR="000B1489" w:rsidRPr="00A50EDC" w:rsidRDefault="000B1489" w:rsidP="000B1489">
      <w:pPr>
        <w:pStyle w:val="ListParagraph"/>
        <w:rPr>
          <w:rFonts w:asciiTheme="majorHAnsi" w:hAnsiTheme="majorHAnsi" w:cs="Arial"/>
        </w:rPr>
      </w:pPr>
    </w:p>
    <w:p w:rsidR="000B1489" w:rsidRPr="00A50EDC" w:rsidRDefault="000B1489" w:rsidP="002E7B83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Distance Learning.</w:t>
      </w:r>
      <w:r w:rsidRPr="00A50EDC">
        <w:rPr>
          <w:rFonts w:asciiTheme="majorHAnsi" w:hAnsiTheme="majorHAnsi" w:cs="Arial"/>
        </w:rPr>
        <w:t xml:space="preserve">  A course offered either as a correspondence course or online.  MTSU offers online courses through departments and also participates in the</w:t>
      </w:r>
      <w:r w:rsidR="00A50EDC">
        <w:rPr>
          <w:rFonts w:asciiTheme="majorHAnsi" w:hAnsiTheme="majorHAnsi" w:cs="Arial"/>
        </w:rPr>
        <w:t xml:space="preserve"> Regents Online Degree </w:t>
      </w:r>
      <w:proofErr w:type="gramStart"/>
      <w:r w:rsidR="00A50EDC">
        <w:rPr>
          <w:rFonts w:asciiTheme="majorHAnsi" w:hAnsiTheme="majorHAnsi" w:cs="Arial"/>
        </w:rPr>
        <w:t>Program(</w:t>
      </w:r>
      <w:proofErr w:type="gramEnd"/>
      <w:r w:rsidR="00A50EDC">
        <w:rPr>
          <w:rFonts w:asciiTheme="majorHAnsi" w:hAnsiTheme="majorHAnsi" w:cs="Arial"/>
        </w:rPr>
        <w:t xml:space="preserve"> RODP).</w:t>
      </w:r>
      <w:r w:rsidR="00E95341">
        <w:rPr>
          <w:rFonts w:asciiTheme="majorHAnsi" w:hAnsiTheme="majorHAnsi" w:cs="Arial"/>
        </w:rPr>
        <w:t xml:space="preserve">  You need permission of </w:t>
      </w:r>
      <w:r w:rsidRPr="00A50EDC">
        <w:rPr>
          <w:rFonts w:asciiTheme="majorHAnsi" w:hAnsiTheme="majorHAnsi" w:cs="Arial"/>
        </w:rPr>
        <w:t>department to get credit for RODP courses.</w:t>
      </w:r>
    </w:p>
    <w:p w:rsidR="009E5F5A" w:rsidRPr="00A50EDC" w:rsidRDefault="009E5F5A" w:rsidP="009E5F5A">
      <w:pPr>
        <w:pStyle w:val="ListParagraph"/>
        <w:rPr>
          <w:rFonts w:asciiTheme="majorHAnsi" w:hAnsiTheme="majorHAnsi" w:cs="Arial"/>
        </w:rPr>
      </w:pPr>
    </w:p>
    <w:p w:rsidR="009E5F5A" w:rsidRDefault="009E5F5A" w:rsidP="002E7B83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Elective.</w:t>
      </w:r>
      <w:r w:rsidRPr="00A50EDC">
        <w:rPr>
          <w:rFonts w:asciiTheme="majorHAnsi" w:hAnsiTheme="majorHAnsi" w:cs="Arial"/>
        </w:rPr>
        <w:t xml:space="preserve">  A course that is not specifically required for your program of study but which carries college credit and counts towards graduation. (</w:t>
      </w:r>
      <w:r w:rsidRPr="00A50EDC">
        <w:rPr>
          <w:rFonts w:asciiTheme="majorHAnsi" w:hAnsiTheme="majorHAnsi" w:cs="Arial"/>
          <w:b/>
        </w:rPr>
        <w:t>Guided electives</w:t>
      </w:r>
      <w:r w:rsidR="007303AD">
        <w:rPr>
          <w:rFonts w:asciiTheme="majorHAnsi" w:hAnsiTheme="majorHAnsi" w:cs="Arial"/>
        </w:rPr>
        <w:t xml:space="preserve">, </w:t>
      </w:r>
      <w:r w:rsidRPr="00A50EDC">
        <w:rPr>
          <w:rFonts w:asciiTheme="majorHAnsi" w:hAnsiTheme="majorHAnsi" w:cs="Arial"/>
        </w:rPr>
        <w:t>usually represent a set of courses f</w:t>
      </w:r>
      <w:r w:rsidR="00E95341">
        <w:rPr>
          <w:rFonts w:asciiTheme="majorHAnsi" w:hAnsiTheme="majorHAnsi" w:cs="Arial"/>
        </w:rPr>
        <w:t>rom which student must choose.)</w:t>
      </w:r>
    </w:p>
    <w:p w:rsidR="00E95341" w:rsidRDefault="00E95341" w:rsidP="00E95341">
      <w:pPr>
        <w:pStyle w:val="ListParagraph"/>
        <w:rPr>
          <w:rFonts w:asciiTheme="majorHAnsi" w:hAnsiTheme="majorHAnsi" w:cs="Arial"/>
        </w:rPr>
      </w:pPr>
    </w:p>
    <w:p w:rsidR="00E95341" w:rsidRPr="00E95341" w:rsidRDefault="00571CE3" w:rsidP="002E7B83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High school deficiency.</w:t>
      </w:r>
      <w:r w:rsidR="00E95341">
        <w:rPr>
          <w:rFonts w:asciiTheme="majorHAnsi" w:hAnsiTheme="majorHAnsi" w:cs="Arial"/>
          <w:b/>
        </w:rPr>
        <w:t xml:space="preserve"> </w:t>
      </w:r>
      <w:r w:rsidR="00E95341">
        <w:rPr>
          <w:rFonts w:asciiTheme="majorHAnsi" w:hAnsiTheme="majorHAnsi" w:cs="Arial"/>
        </w:rPr>
        <w:t xml:space="preserve">If a student is admitted to the university without having one of more of the </w:t>
      </w:r>
      <w:proofErr w:type="spellStart"/>
      <w:r w:rsidR="00E95341">
        <w:rPr>
          <w:rFonts w:asciiTheme="majorHAnsi" w:hAnsiTheme="majorHAnsi" w:cs="Arial"/>
        </w:rPr>
        <w:t>highschool</w:t>
      </w:r>
      <w:proofErr w:type="spellEnd"/>
      <w:r w:rsidR="00E95341">
        <w:rPr>
          <w:rFonts w:asciiTheme="majorHAnsi" w:hAnsiTheme="majorHAnsi" w:cs="Arial"/>
        </w:rPr>
        <w:t xml:space="preserve"> courses required for admission (for example, foreign language or art) the student must satisfy that deficiency with courses taken at the university.</w:t>
      </w:r>
    </w:p>
    <w:p w:rsidR="00EA73A6" w:rsidRPr="00A50EDC" w:rsidRDefault="00EA73A6" w:rsidP="00EA73A6">
      <w:pPr>
        <w:rPr>
          <w:rFonts w:asciiTheme="majorHAnsi" w:hAnsiTheme="majorHAnsi"/>
        </w:rPr>
      </w:pPr>
    </w:p>
    <w:p w:rsidR="00EA73A6" w:rsidRPr="00A50EDC" w:rsidRDefault="00EA73A6" w:rsidP="0041482F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Lower Division</w:t>
      </w:r>
      <w:r w:rsidRPr="00A50EDC">
        <w:rPr>
          <w:rFonts w:asciiTheme="majorHAnsi" w:hAnsiTheme="majorHAnsi" w:cs="Arial"/>
        </w:rPr>
        <w:t>.  Courses numbering 1000 and 2000.  These courses are typically aimed at freshmen and so</w:t>
      </w:r>
      <w:r w:rsidR="00E95341">
        <w:rPr>
          <w:rFonts w:asciiTheme="majorHAnsi" w:hAnsiTheme="majorHAnsi" w:cs="Arial"/>
        </w:rPr>
        <w:t>phomores and/or non-majors. (Compare to</w:t>
      </w:r>
      <w:r w:rsidRPr="00A50EDC">
        <w:rPr>
          <w:rFonts w:asciiTheme="majorHAnsi" w:hAnsiTheme="majorHAnsi" w:cs="Arial"/>
        </w:rPr>
        <w:t xml:space="preserve"> Upper Division</w:t>
      </w:r>
      <w:r w:rsidR="00E9205A">
        <w:rPr>
          <w:rFonts w:asciiTheme="majorHAnsi" w:hAnsiTheme="majorHAnsi" w:cs="Arial"/>
        </w:rPr>
        <w:t>.</w:t>
      </w:r>
      <w:r w:rsidRPr="00A50EDC">
        <w:rPr>
          <w:rFonts w:asciiTheme="majorHAnsi" w:hAnsiTheme="majorHAnsi" w:cs="Arial"/>
        </w:rPr>
        <w:t>)</w:t>
      </w:r>
    </w:p>
    <w:p w:rsidR="00E8688D" w:rsidRPr="00A50EDC" w:rsidRDefault="00E8688D" w:rsidP="00E8688D">
      <w:pPr>
        <w:pStyle w:val="ListParagraph"/>
        <w:rPr>
          <w:rFonts w:asciiTheme="majorHAnsi" w:hAnsiTheme="majorHAnsi" w:cs="Arial"/>
        </w:rPr>
      </w:pPr>
    </w:p>
    <w:p w:rsidR="00EA73A6" w:rsidRPr="00E95341" w:rsidRDefault="00E8688D" w:rsidP="00EA73A6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A50EDC">
        <w:rPr>
          <w:rFonts w:asciiTheme="majorHAnsi" w:hAnsiTheme="majorHAnsi" w:cs="Arial"/>
          <w:b/>
        </w:rPr>
        <w:t xml:space="preserve">Major/minor.  </w:t>
      </w:r>
      <w:r w:rsidRPr="00A50EDC">
        <w:rPr>
          <w:rFonts w:asciiTheme="majorHAnsi" w:hAnsiTheme="majorHAnsi" w:cs="Arial"/>
        </w:rPr>
        <w:t xml:space="preserve">Refers to the academic area(s) of concentration.  A major is the primary area; a minor is a secondary area.  </w:t>
      </w:r>
      <w:r w:rsidR="000D6020">
        <w:rPr>
          <w:rFonts w:asciiTheme="majorHAnsi" w:hAnsiTheme="majorHAnsi" w:cs="Arial"/>
        </w:rPr>
        <w:t>Some programs require two minors. Stu</w:t>
      </w:r>
      <w:r w:rsidR="00E95341">
        <w:rPr>
          <w:rFonts w:asciiTheme="majorHAnsi" w:hAnsiTheme="majorHAnsi" w:cs="Arial"/>
        </w:rPr>
        <w:t>dents may also have two majors. This is called a “double major.”</w:t>
      </w:r>
      <w:r w:rsidR="00E95341">
        <w:rPr>
          <w:rFonts w:asciiTheme="majorHAnsi" w:hAnsiTheme="majorHAnsi" w:cs="Arial"/>
          <w:b/>
        </w:rPr>
        <w:br/>
      </w:r>
    </w:p>
    <w:p w:rsidR="00E9205A" w:rsidRDefault="00EA73A6" w:rsidP="00E9205A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E9205A">
        <w:rPr>
          <w:rFonts w:asciiTheme="majorHAnsi" w:hAnsiTheme="majorHAnsi" w:cs="Arial"/>
        </w:rPr>
        <w:t xml:space="preserve"> </w:t>
      </w:r>
      <w:r w:rsidRPr="00E9205A">
        <w:rPr>
          <w:rFonts w:asciiTheme="majorHAnsi" w:hAnsiTheme="majorHAnsi" w:cs="Arial"/>
          <w:b/>
        </w:rPr>
        <w:t xml:space="preserve">P.O.D.  </w:t>
      </w:r>
      <w:r w:rsidRPr="00E9205A">
        <w:rPr>
          <w:rFonts w:asciiTheme="majorHAnsi" w:hAnsiTheme="majorHAnsi" w:cs="Arial"/>
        </w:rPr>
        <w:t xml:space="preserve">Permission of </w:t>
      </w:r>
      <w:proofErr w:type="gramStart"/>
      <w:r w:rsidRPr="00E9205A">
        <w:rPr>
          <w:rFonts w:asciiTheme="majorHAnsi" w:hAnsiTheme="majorHAnsi" w:cs="Arial"/>
        </w:rPr>
        <w:t xml:space="preserve">department </w:t>
      </w:r>
      <w:r w:rsidR="00E9205A">
        <w:rPr>
          <w:rFonts w:asciiTheme="majorHAnsi" w:hAnsiTheme="majorHAnsi" w:cs="Arial"/>
        </w:rPr>
        <w:t>,</w:t>
      </w:r>
      <w:proofErr w:type="gramEnd"/>
      <w:r w:rsidR="00E9205A">
        <w:rPr>
          <w:rFonts w:asciiTheme="majorHAnsi" w:hAnsiTheme="majorHAnsi" w:cs="Arial"/>
        </w:rPr>
        <w:t xml:space="preserve"> usually for registration.</w:t>
      </w:r>
      <w:r w:rsidR="00E95341">
        <w:rPr>
          <w:rFonts w:asciiTheme="majorHAnsi" w:hAnsiTheme="majorHAnsi" w:cs="Arial"/>
        </w:rPr>
        <w:t xml:space="preserve">  (Also called “Special Approval.”)</w:t>
      </w:r>
    </w:p>
    <w:p w:rsidR="007303AD" w:rsidRPr="00E95341" w:rsidRDefault="007303AD" w:rsidP="007303AD">
      <w:pPr>
        <w:tabs>
          <w:tab w:val="left" w:pos="1496"/>
        </w:tabs>
        <w:autoSpaceDE w:val="0"/>
        <w:autoSpaceDN w:val="0"/>
        <w:adjustRightInd w:val="0"/>
        <w:ind w:left="216"/>
        <w:rPr>
          <w:rFonts w:asciiTheme="majorHAnsi" w:hAnsiTheme="majorHAnsi" w:cs="Arial"/>
        </w:rPr>
      </w:pPr>
    </w:p>
    <w:p w:rsidR="00E95341" w:rsidRDefault="00E95341" w:rsidP="00A50EDC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Prescribed course(s)</w:t>
      </w:r>
      <w:r>
        <w:rPr>
          <w:rFonts w:asciiTheme="majorHAnsi" w:hAnsiTheme="majorHAnsi" w:cs="Arial"/>
        </w:rPr>
        <w:t xml:space="preserve">: Courses that students are </w:t>
      </w:r>
      <w:r w:rsidR="007303AD">
        <w:rPr>
          <w:rFonts w:asciiTheme="majorHAnsi" w:hAnsiTheme="majorHAnsi" w:cs="Arial"/>
        </w:rPr>
        <w:t xml:space="preserve">required to take because </w:t>
      </w:r>
      <w:proofErr w:type="gramStart"/>
      <w:r w:rsidR="007303AD">
        <w:rPr>
          <w:rFonts w:asciiTheme="majorHAnsi" w:hAnsiTheme="majorHAnsi" w:cs="Arial"/>
        </w:rPr>
        <w:t xml:space="preserve">of  </w:t>
      </w:r>
      <w:r>
        <w:rPr>
          <w:rFonts w:asciiTheme="majorHAnsi" w:hAnsiTheme="majorHAnsi" w:cs="Arial"/>
        </w:rPr>
        <w:t>test</w:t>
      </w:r>
      <w:proofErr w:type="gramEnd"/>
      <w:r w:rsidR="007303AD">
        <w:rPr>
          <w:rFonts w:asciiTheme="majorHAnsi" w:hAnsiTheme="majorHAnsi" w:cs="Arial"/>
        </w:rPr>
        <w:t xml:space="preserve"> scores</w:t>
      </w:r>
      <w:r>
        <w:rPr>
          <w:rFonts w:asciiTheme="majorHAnsi" w:hAnsiTheme="majorHAnsi" w:cs="Arial"/>
        </w:rPr>
        <w:t xml:space="preserve"> or </w:t>
      </w:r>
      <w:proofErr w:type="spellStart"/>
      <w:r>
        <w:rPr>
          <w:rFonts w:asciiTheme="majorHAnsi" w:hAnsiTheme="majorHAnsi" w:cs="Arial"/>
        </w:rPr>
        <w:t>highschool</w:t>
      </w:r>
      <w:proofErr w:type="spellEnd"/>
      <w:r>
        <w:rPr>
          <w:rFonts w:asciiTheme="majorHAnsi" w:hAnsiTheme="majorHAnsi" w:cs="Arial"/>
        </w:rPr>
        <w:t xml:space="preserve"> deficiency.  Typically these courses count as electives, but do not satisfy general education or other requirements.</w:t>
      </w:r>
    </w:p>
    <w:p w:rsidR="00E95341" w:rsidRDefault="00E95341" w:rsidP="00E95341">
      <w:pPr>
        <w:pStyle w:val="ListParagraph"/>
        <w:rPr>
          <w:rFonts w:asciiTheme="majorHAnsi" w:hAnsiTheme="majorHAnsi" w:cs="Arial"/>
          <w:b/>
        </w:rPr>
      </w:pPr>
    </w:p>
    <w:p w:rsidR="00A50EDC" w:rsidRPr="00E95341" w:rsidRDefault="00EA73A6" w:rsidP="00A50EDC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A50EDC">
        <w:rPr>
          <w:rFonts w:asciiTheme="majorHAnsi" w:hAnsiTheme="majorHAnsi" w:cs="Arial"/>
          <w:b/>
        </w:rPr>
        <w:t>Preregistration.</w:t>
      </w:r>
      <w:r w:rsidRPr="00A50EDC">
        <w:rPr>
          <w:rFonts w:asciiTheme="majorHAnsi" w:hAnsiTheme="majorHAnsi" w:cs="Arial"/>
        </w:rPr>
        <w:t xml:space="preserve">  The period during which students may sign up for courses that they plan to take during the next term.  </w:t>
      </w:r>
      <w:r w:rsidR="00E95341">
        <w:rPr>
          <w:rFonts w:asciiTheme="majorHAnsi" w:hAnsiTheme="majorHAnsi" w:cs="Arial"/>
        </w:rPr>
        <w:t xml:space="preserve"> </w:t>
      </w:r>
      <w:r w:rsidR="00D606E8">
        <w:rPr>
          <w:rFonts w:asciiTheme="majorHAnsi" w:hAnsiTheme="majorHAnsi" w:cs="Arial"/>
        </w:rPr>
        <w:t>(Preregistration only reserves courses until the registration period.)</w:t>
      </w:r>
      <w:r w:rsidRPr="00A50EDC">
        <w:rPr>
          <w:rFonts w:asciiTheme="majorHAnsi" w:hAnsiTheme="majorHAnsi" w:cs="Arial"/>
        </w:rPr>
        <w:br/>
      </w:r>
    </w:p>
    <w:p w:rsidR="00EA73A6" w:rsidRPr="00A50EDC" w:rsidRDefault="00EA73A6" w:rsidP="002E7B83">
      <w:pPr>
        <w:numPr>
          <w:ilvl w:val="0"/>
          <w:numId w:val="1"/>
        </w:numPr>
        <w:tabs>
          <w:tab w:val="clear" w:pos="144"/>
          <w:tab w:val="num" w:pos="187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 xml:space="preserve">Prerequisite. </w:t>
      </w:r>
      <w:r w:rsidRPr="00A50EDC">
        <w:rPr>
          <w:rFonts w:asciiTheme="majorHAnsi" w:hAnsiTheme="majorHAnsi" w:cs="Arial"/>
        </w:rPr>
        <w:t>A course that is required before you can take another. (Example:  English 1010 is a prerequisite of English 1020.  English 1010, 1020 and 2020/30 are prerequisites for all upper-division courses.  English 3000 is a prerequisite for 3010, 3020 or 3030.)</w:t>
      </w:r>
    </w:p>
    <w:p w:rsidR="00EA73A6" w:rsidRPr="00A50EDC" w:rsidRDefault="00EA73A6" w:rsidP="00EA73A6">
      <w:pPr>
        <w:autoSpaceDE w:val="0"/>
        <w:autoSpaceDN w:val="0"/>
        <w:adjustRightInd w:val="0"/>
        <w:ind w:left="216"/>
        <w:rPr>
          <w:rFonts w:asciiTheme="majorHAnsi" w:hAnsiTheme="majorHAnsi" w:cs="Arial"/>
        </w:rPr>
      </w:pPr>
    </w:p>
    <w:p w:rsidR="00EA73A6" w:rsidRPr="00A50EDC" w:rsidRDefault="00EA73A6" w:rsidP="00665544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Professor</w:t>
      </w:r>
      <w:r w:rsidRPr="00A50EDC">
        <w:rPr>
          <w:rFonts w:asciiTheme="majorHAnsi" w:hAnsiTheme="majorHAnsi" w:cs="Arial"/>
        </w:rPr>
        <w:t>.</w:t>
      </w:r>
      <w:r w:rsidR="00DE515B" w:rsidRPr="00A50EDC">
        <w:rPr>
          <w:rFonts w:asciiTheme="majorHAnsi" w:hAnsiTheme="majorHAnsi" w:cs="Arial"/>
        </w:rPr>
        <w:t xml:space="preserve">  A </w:t>
      </w:r>
      <w:r w:rsidRPr="00A50EDC">
        <w:rPr>
          <w:rFonts w:asciiTheme="majorHAnsi" w:hAnsiTheme="majorHAnsi" w:cs="Arial"/>
        </w:rPr>
        <w:t>person teaching a university-level course.  At MTSU, the title “professor” is the preferred courtesy title for instructors</w:t>
      </w:r>
      <w:r w:rsidR="007303AD">
        <w:rPr>
          <w:rFonts w:asciiTheme="majorHAnsi" w:hAnsiTheme="majorHAnsi" w:cs="Arial"/>
        </w:rPr>
        <w:t xml:space="preserve"> (teachers)</w:t>
      </w:r>
      <w:r w:rsidRPr="00A50EDC">
        <w:rPr>
          <w:rFonts w:asciiTheme="majorHAnsi" w:hAnsiTheme="majorHAnsi" w:cs="Arial"/>
        </w:rPr>
        <w:t xml:space="preserve"> who do not have a doctorate.  Faculty </w:t>
      </w:r>
      <w:r w:rsidR="00A96017" w:rsidRPr="00A50EDC">
        <w:rPr>
          <w:rFonts w:asciiTheme="majorHAnsi" w:hAnsiTheme="majorHAnsi" w:cs="Arial"/>
        </w:rPr>
        <w:t xml:space="preserve">members </w:t>
      </w:r>
      <w:r w:rsidRPr="00A50EDC">
        <w:rPr>
          <w:rFonts w:asciiTheme="majorHAnsi" w:hAnsiTheme="majorHAnsi" w:cs="Arial"/>
        </w:rPr>
        <w:t xml:space="preserve">with doctorates are usually addressed as Dr. </w:t>
      </w:r>
      <w:r w:rsidR="00DE515B" w:rsidRPr="00A50EDC">
        <w:rPr>
          <w:rFonts w:asciiTheme="majorHAnsi" w:hAnsiTheme="majorHAnsi" w:cs="Arial"/>
        </w:rPr>
        <w:t xml:space="preserve"> (</w:t>
      </w:r>
      <w:r w:rsidR="007303AD">
        <w:rPr>
          <w:rFonts w:asciiTheme="majorHAnsi" w:hAnsiTheme="majorHAnsi" w:cs="Arial"/>
        </w:rPr>
        <w:t xml:space="preserve">Note: </w:t>
      </w:r>
      <w:r w:rsidR="00DE515B" w:rsidRPr="00A50EDC">
        <w:rPr>
          <w:rFonts w:asciiTheme="majorHAnsi" w:hAnsiTheme="majorHAnsi" w:cs="Arial"/>
        </w:rPr>
        <w:t>“Professor” is also an academic rank.)</w:t>
      </w:r>
    </w:p>
    <w:p w:rsidR="000B1489" w:rsidRPr="00A50EDC" w:rsidRDefault="000B1489" w:rsidP="000B1489">
      <w:pPr>
        <w:pStyle w:val="ListParagraph"/>
        <w:rPr>
          <w:rFonts w:asciiTheme="majorHAnsi" w:hAnsiTheme="majorHAnsi" w:cs="Arial"/>
        </w:rPr>
      </w:pPr>
    </w:p>
    <w:p w:rsidR="009E5F5A" w:rsidRDefault="000B1489" w:rsidP="009E5F5A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E95341">
        <w:rPr>
          <w:rFonts w:asciiTheme="majorHAnsi" w:hAnsiTheme="majorHAnsi" w:cs="Arial"/>
          <w:b/>
        </w:rPr>
        <w:t>Raider Learning Community.</w:t>
      </w:r>
      <w:r w:rsidRPr="00E95341">
        <w:rPr>
          <w:rFonts w:asciiTheme="majorHAnsi" w:hAnsiTheme="majorHAnsi" w:cs="Arial"/>
        </w:rPr>
        <w:t xml:space="preserve">  </w:t>
      </w:r>
      <w:r w:rsidR="0091551D" w:rsidRPr="00E95341">
        <w:rPr>
          <w:rFonts w:asciiTheme="majorHAnsi" w:hAnsiTheme="majorHAnsi" w:cs="Arial"/>
        </w:rPr>
        <w:t>(RLC)</w:t>
      </w:r>
      <w:r w:rsidRPr="00E95341">
        <w:rPr>
          <w:rFonts w:asciiTheme="majorHAnsi" w:hAnsiTheme="majorHAnsi" w:cs="Arial"/>
        </w:rPr>
        <w:t xml:space="preserve"> Two or more classes that are linked together in a community so that students in one class need to</w:t>
      </w:r>
      <w:r w:rsidR="00A96017" w:rsidRPr="00E95341">
        <w:rPr>
          <w:rFonts w:asciiTheme="majorHAnsi" w:hAnsiTheme="majorHAnsi" w:cs="Arial"/>
        </w:rPr>
        <w:t xml:space="preserve"> enroll in another. </w:t>
      </w:r>
      <w:r w:rsidR="0091551D" w:rsidRPr="00E95341">
        <w:rPr>
          <w:rFonts w:asciiTheme="majorHAnsi" w:hAnsiTheme="majorHAnsi" w:cs="Arial"/>
        </w:rPr>
        <w:t xml:space="preserve"> </w:t>
      </w:r>
    </w:p>
    <w:p w:rsidR="00E95341" w:rsidRPr="00E95341" w:rsidRDefault="00E95341" w:rsidP="00E95341">
      <w:pPr>
        <w:tabs>
          <w:tab w:val="left" w:pos="1496"/>
        </w:tabs>
        <w:autoSpaceDE w:val="0"/>
        <w:autoSpaceDN w:val="0"/>
        <w:adjustRightInd w:val="0"/>
        <w:ind w:left="216"/>
        <w:rPr>
          <w:rFonts w:asciiTheme="majorHAnsi" w:hAnsiTheme="majorHAnsi" w:cs="Arial"/>
        </w:rPr>
      </w:pPr>
    </w:p>
    <w:p w:rsidR="009E5F5A" w:rsidRPr="00A50EDC" w:rsidRDefault="009E5F5A" w:rsidP="00665544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Requirement.</w:t>
      </w:r>
      <w:r w:rsidRPr="00A50EDC">
        <w:rPr>
          <w:rFonts w:asciiTheme="majorHAnsi" w:hAnsiTheme="majorHAnsi" w:cs="Arial"/>
        </w:rPr>
        <w:t xml:space="preserve">  Something that you must do, usually in order to register, graduate or to complete a particular program.  (For example, “foreign language requirement.”)</w:t>
      </w:r>
    </w:p>
    <w:p w:rsidR="00EA73A6" w:rsidRPr="00A50EDC" w:rsidRDefault="00EA73A6" w:rsidP="00EA73A6">
      <w:pPr>
        <w:pStyle w:val="ListParagraph"/>
        <w:rPr>
          <w:rFonts w:asciiTheme="majorHAnsi" w:hAnsiTheme="majorHAnsi" w:cs="Arial"/>
        </w:rPr>
      </w:pPr>
    </w:p>
    <w:p w:rsidR="00EA73A6" w:rsidRPr="00D1050D" w:rsidRDefault="00EA73A6" w:rsidP="00665544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A50EDC">
        <w:rPr>
          <w:rFonts w:asciiTheme="majorHAnsi" w:hAnsiTheme="majorHAnsi" w:cs="Arial"/>
          <w:b/>
        </w:rPr>
        <w:t xml:space="preserve">Registration. </w:t>
      </w:r>
      <w:r w:rsidRPr="00A50EDC">
        <w:rPr>
          <w:rFonts w:asciiTheme="majorHAnsi" w:hAnsiTheme="majorHAnsi" w:cs="Arial"/>
        </w:rPr>
        <w:t>The act of formalizi</w:t>
      </w:r>
      <w:r w:rsidR="00E95341">
        <w:rPr>
          <w:rFonts w:asciiTheme="majorHAnsi" w:hAnsiTheme="majorHAnsi" w:cs="Arial"/>
        </w:rPr>
        <w:t>ng the preregistration process</w:t>
      </w:r>
      <w:r w:rsidR="00571CE3">
        <w:rPr>
          <w:rFonts w:asciiTheme="majorHAnsi" w:hAnsiTheme="majorHAnsi" w:cs="Arial"/>
        </w:rPr>
        <w:t xml:space="preserve">. This generally involves confirming schedule and paying fees. </w:t>
      </w:r>
      <w:r w:rsidR="00D606E8">
        <w:rPr>
          <w:rFonts w:asciiTheme="majorHAnsi" w:hAnsiTheme="majorHAnsi" w:cs="Arial"/>
        </w:rPr>
        <w:t>(If you fail to complete registration by a certain date, your schedule will be “purged” and you will lose the courses you pre-registered for.)</w:t>
      </w:r>
    </w:p>
    <w:p w:rsidR="00D1050D" w:rsidRDefault="00D1050D" w:rsidP="00D1050D">
      <w:pPr>
        <w:pStyle w:val="ListParagraph"/>
        <w:rPr>
          <w:rFonts w:asciiTheme="majorHAnsi" w:hAnsiTheme="majorHAnsi" w:cs="Arial"/>
          <w:b/>
        </w:rPr>
      </w:pPr>
    </w:p>
    <w:p w:rsidR="00D1050D" w:rsidRPr="007303AD" w:rsidRDefault="00D1050D" w:rsidP="00665544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7303AD">
        <w:rPr>
          <w:rFonts w:asciiTheme="majorHAnsi" w:hAnsiTheme="majorHAnsi" w:cs="Arial"/>
          <w:b/>
        </w:rPr>
        <w:t xml:space="preserve">Syllabus.  </w:t>
      </w:r>
      <w:r w:rsidR="007303AD" w:rsidRPr="007303AD">
        <w:t xml:space="preserve">A document </w:t>
      </w:r>
      <w:r w:rsidR="007303AD">
        <w:t>giving an overview of a course.  Usually it is handed out on the first day of class.  It includes i</w:t>
      </w:r>
      <w:r w:rsidR="007303AD" w:rsidRPr="007303AD">
        <w:t>nformation about the course, course policies, contact information for the inst</w:t>
      </w:r>
      <w:r w:rsidR="007303AD">
        <w:t>ructor, and the class schedule. (“Syllabi” is the plural form.)</w:t>
      </w:r>
    </w:p>
    <w:p w:rsidR="00D1050D" w:rsidRPr="007303AD" w:rsidRDefault="00D1050D" w:rsidP="00D1050D">
      <w:pPr>
        <w:pStyle w:val="ListParagraph"/>
        <w:rPr>
          <w:rFonts w:asciiTheme="majorHAnsi" w:hAnsiTheme="majorHAnsi" w:cs="Arial"/>
          <w:b/>
        </w:rPr>
      </w:pPr>
    </w:p>
    <w:p w:rsidR="00D1050D" w:rsidRPr="00D1050D" w:rsidRDefault="00D1050D" w:rsidP="00D1050D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TBA.</w:t>
      </w:r>
      <w:r w:rsidRPr="00A50EDC">
        <w:rPr>
          <w:rFonts w:asciiTheme="majorHAnsi" w:hAnsiTheme="majorHAnsi" w:cs="Arial"/>
        </w:rPr>
        <w:t xml:space="preserve">   To be announced or to be arranged. Means that the time, place and/or person teaching are not determined yet. </w:t>
      </w:r>
    </w:p>
    <w:p w:rsidR="00EA73A6" w:rsidRPr="00A50EDC" w:rsidRDefault="00EA73A6" w:rsidP="00EA73A6">
      <w:p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</w:p>
    <w:p w:rsidR="000B1489" w:rsidRPr="0039023C" w:rsidRDefault="00EA73A6" w:rsidP="0039023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50EDC">
        <w:rPr>
          <w:rFonts w:asciiTheme="majorHAnsi" w:hAnsiTheme="majorHAnsi" w:cs="Arial"/>
          <w:b/>
        </w:rPr>
        <w:t>Undergraduate</w:t>
      </w:r>
      <w:r w:rsidRPr="00A50EDC">
        <w:rPr>
          <w:rFonts w:asciiTheme="majorHAnsi" w:hAnsiTheme="majorHAnsi" w:cs="Arial"/>
        </w:rPr>
        <w:t xml:space="preserve">.  Student working towards his/her bachelor’s degree. </w:t>
      </w:r>
      <w:r w:rsidR="00A96017" w:rsidRPr="00A50EDC">
        <w:rPr>
          <w:rFonts w:asciiTheme="majorHAnsi" w:hAnsiTheme="majorHAnsi" w:cs="Arial"/>
        </w:rPr>
        <w:t>(A graduate student is working on a graduate degree—masters or doctor</w:t>
      </w:r>
      <w:r w:rsidR="00DE515B" w:rsidRPr="00A50EDC">
        <w:rPr>
          <w:rFonts w:asciiTheme="majorHAnsi" w:hAnsiTheme="majorHAnsi" w:cs="Arial"/>
        </w:rPr>
        <w:t>ate.</w:t>
      </w:r>
      <w:r w:rsidRPr="00A50EDC">
        <w:rPr>
          <w:rFonts w:asciiTheme="majorHAnsi" w:hAnsiTheme="majorHAnsi" w:cs="Arial"/>
        </w:rPr>
        <w:t>)</w:t>
      </w:r>
      <w:r w:rsidR="00571CE3" w:rsidRPr="0039023C">
        <w:rPr>
          <w:rFonts w:asciiTheme="majorHAnsi" w:hAnsiTheme="majorHAnsi" w:cs="Arial"/>
          <w:i/>
        </w:rPr>
        <w:t xml:space="preserve"> </w:t>
      </w:r>
    </w:p>
    <w:p w:rsidR="00CB2DC0" w:rsidRPr="00A50EDC" w:rsidRDefault="00CB2DC0" w:rsidP="00EA73A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Freshman</w:t>
      </w:r>
      <w:r w:rsidRPr="00A50EDC">
        <w:rPr>
          <w:rFonts w:asciiTheme="majorHAnsi" w:hAnsiTheme="majorHAnsi" w:cs="Arial"/>
        </w:rPr>
        <w:t>:  A student who has completed 0–29 semester hours</w:t>
      </w:r>
    </w:p>
    <w:p w:rsidR="00CB2DC0" w:rsidRPr="00A50EDC" w:rsidRDefault="00CB2DC0" w:rsidP="00EA73A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Sophomore</w:t>
      </w:r>
      <w:r w:rsidRPr="00A50EDC">
        <w:rPr>
          <w:rFonts w:asciiTheme="majorHAnsi" w:hAnsiTheme="majorHAnsi" w:cs="Arial"/>
        </w:rPr>
        <w:t>: A student who has completed 30–59 semester hours</w:t>
      </w:r>
    </w:p>
    <w:p w:rsidR="00CB2DC0" w:rsidRPr="00A50EDC" w:rsidRDefault="00CB2DC0" w:rsidP="00EA73A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Junior</w:t>
      </w:r>
      <w:r w:rsidRPr="00A50EDC">
        <w:rPr>
          <w:rFonts w:asciiTheme="majorHAnsi" w:hAnsiTheme="majorHAnsi" w:cs="Arial"/>
        </w:rPr>
        <w:t>: A student who has completed 60–89 semester hours</w:t>
      </w:r>
    </w:p>
    <w:p w:rsidR="007C0CA4" w:rsidRPr="00A50EDC" w:rsidRDefault="00CB2DC0" w:rsidP="00EA73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50EDC">
        <w:rPr>
          <w:rFonts w:asciiTheme="majorHAnsi" w:hAnsiTheme="majorHAnsi" w:cs="Arial"/>
          <w:b/>
        </w:rPr>
        <w:t>Senior</w:t>
      </w:r>
      <w:r w:rsidRPr="00A50EDC">
        <w:rPr>
          <w:rFonts w:asciiTheme="majorHAnsi" w:hAnsiTheme="majorHAnsi" w:cs="Arial"/>
        </w:rPr>
        <w:t>: A student who has completed 90 semester hours and above</w:t>
      </w:r>
    </w:p>
    <w:p w:rsidR="00397107" w:rsidRPr="00397107" w:rsidRDefault="00CB2DC0" w:rsidP="00EA73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50EDC">
        <w:rPr>
          <w:rFonts w:asciiTheme="majorHAnsi" w:hAnsiTheme="majorHAnsi" w:cs="Arial"/>
          <w:b/>
        </w:rPr>
        <w:t>Dual-major</w:t>
      </w:r>
      <w:r w:rsidRPr="00A50EDC">
        <w:rPr>
          <w:rFonts w:asciiTheme="majorHAnsi" w:hAnsiTheme="majorHAnsi" w:cs="Arial"/>
        </w:rPr>
        <w:t xml:space="preserve">: A student majoring in two different areas </w:t>
      </w:r>
    </w:p>
    <w:p w:rsidR="00CB2DC0" w:rsidRPr="00A50EDC" w:rsidRDefault="00CB2DC0" w:rsidP="00397107">
      <w:pPr>
        <w:pStyle w:val="ListParagraph"/>
        <w:rPr>
          <w:rFonts w:asciiTheme="majorHAnsi" w:hAnsiTheme="majorHAnsi"/>
        </w:rPr>
      </w:pPr>
      <w:r w:rsidRPr="00A50EDC">
        <w:rPr>
          <w:rFonts w:asciiTheme="majorHAnsi" w:hAnsiTheme="majorHAnsi" w:cs="Arial"/>
        </w:rPr>
        <w:t>(</w:t>
      </w:r>
      <w:proofErr w:type="gramStart"/>
      <w:r w:rsidRPr="00A50EDC">
        <w:rPr>
          <w:rFonts w:asciiTheme="majorHAnsi" w:hAnsiTheme="majorHAnsi" w:cs="Arial"/>
        </w:rPr>
        <w:t>for</w:t>
      </w:r>
      <w:proofErr w:type="gramEnd"/>
      <w:r w:rsidRPr="00A50EDC">
        <w:rPr>
          <w:rFonts w:asciiTheme="majorHAnsi" w:hAnsiTheme="majorHAnsi" w:cs="Arial"/>
        </w:rPr>
        <w:t xml:space="preserve"> example, English and philosophy)</w:t>
      </w:r>
    </w:p>
    <w:p w:rsidR="00665544" w:rsidRPr="00A50EDC" w:rsidRDefault="00CB2DC0" w:rsidP="00EA73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50EDC">
        <w:rPr>
          <w:rFonts w:asciiTheme="majorHAnsi" w:hAnsiTheme="majorHAnsi" w:cs="Arial"/>
          <w:b/>
        </w:rPr>
        <w:t>Dual-degree</w:t>
      </w:r>
      <w:r w:rsidRPr="00A50EDC">
        <w:rPr>
          <w:rFonts w:asciiTheme="majorHAnsi" w:hAnsiTheme="majorHAnsi" w:cs="Arial"/>
        </w:rPr>
        <w:t>: A student who is not only majoring in two areas but seeking bachelor degrees from two different colleges (for example, English and chemistry)</w:t>
      </w:r>
    </w:p>
    <w:p w:rsidR="00EA73A6" w:rsidRPr="00A50EDC" w:rsidRDefault="00EA73A6" w:rsidP="00EA73A6">
      <w:pPr>
        <w:pStyle w:val="ListParagraph"/>
        <w:ind w:left="216"/>
        <w:rPr>
          <w:rFonts w:asciiTheme="majorHAnsi" w:hAnsiTheme="majorHAnsi"/>
        </w:rPr>
      </w:pPr>
    </w:p>
    <w:p w:rsidR="00E92D03" w:rsidRPr="00D1050D" w:rsidRDefault="00EA73A6" w:rsidP="00E92D03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Upper Division.</w:t>
      </w:r>
      <w:r w:rsidRPr="00A50EDC">
        <w:rPr>
          <w:rFonts w:asciiTheme="majorHAnsi" w:hAnsiTheme="majorHAnsi" w:cs="Arial"/>
        </w:rPr>
        <w:t xml:space="preserve"> Courses number 3000 and 4000. These courses are typically aimed at juniors and seniors majoring or minoring in an area. (See Lower Division.)</w:t>
      </w:r>
      <w:r w:rsidR="00366652" w:rsidRPr="00A50EDC">
        <w:rPr>
          <w:rFonts w:asciiTheme="majorHAnsi" w:hAnsiTheme="majorHAnsi" w:cs="Arial"/>
        </w:rPr>
        <w:br/>
      </w:r>
    </w:p>
    <w:p w:rsidR="007303AD" w:rsidRPr="007303AD" w:rsidRDefault="000B1489" w:rsidP="007303AD">
      <w:pPr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A50EDC">
        <w:rPr>
          <w:rFonts w:asciiTheme="majorHAnsi" w:hAnsiTheme="majorHAnsi" w:cs="Arial"/>
          <w:b/>
        </w:rPr>
        <w:t>Withdrawing.</w:t>
      </w:r>
      <w:r w:rsidRPr="00A50EDC">
        <w:rPr>
          <w:rFonts w:asciiTheme="majorHAnsi" w:hAnsiTheme="majorHAnsi" w:cs="Arial"/>
        </w:rPr>
        <w:t xml:space="preserve">  Fo</w:t>
      </w:r>
      <w:r w:rsidR="0091551D">
        <w:rPr>
          <w:rFonts w:asciiTheme="majorHAnsi" w:hAnsiTheme="majorHAnsi" w:cs="Arial"/>
        </w:rPr>
        <w:t xml:space="preserve">rmally removing </w:t>
      </w:r>
      <w:proofErr w:type="gramStart"/>
      <w:r w:rsidR="0091551D">
        <w:rPr>
          <w:rFonts w:asciiTheme="majorHAnsi" w:hAnsiTheme="majorHAnsi" w:cs="Arial"/>
        </w:rPr>
        <w:t>yourself</w:t>
      </w:r>
      <w:proofErr w:type="gramEnd"/>
      <w:r w:rsidR="0091551D">
        <w:rPr>
          <w:rFonts w:asciiTheme="majorHAnsi" w:hAnsiTheme="majorHAnsi" w:cs="Arial"/>
        </w:rPr>
        <w:t xml:space="preserve"> from </w:t>
      </w:r>
      <w:r w:rsidR="0091551D" w:rsidRPr="007303AD">
        <w:rPr>
          <w:rFonts w:asciiTheme="majorHAnsi" w:hAnsiTheme="majorHAnsi" w:cs="Arial"/>
          <w:i/>
        </w:rPr>
        <w:t>one</w:t>
      </w:r>
      <w:r w:rsidR="0091551D">
        <w:rPr>
          <w:rFonts w:asciiTheme="majorHAnsi" w:hAnsiTheme="majorHAnsi" w:cs="Arial"/>
        </w:rPr>
        <w:t xml:space="preserve"> </w:t>
      </w:r>
      <w:r w:rsidRPr="00A50EDC">
        <w:rPr>
          <w:rFonts w:asciiTheme="majorHAnsi" w:hAnsiTheme="majorHAnsi" w:cs="Arial"/>
        </w:rPr>
        <w:t xml:space="preserve">class by dropping the class or formally removing yourself from the university by withdrawing from all classes.  </w:t>
      </w:r>
      <w:r w:rsidR="007303AD">
        <w:rPr>
          <w:rFonts w:asciiTheme="majorHAnsi" w:hAnsiTheme="majorHAnsi" w:cs="Arial"/>
        </w:rPr>
        <w:t>(Always consult with your advisor before dropping/with</w:t>
      </w:r>
      <w:bookmarkStart w:id="0" w:name="_GoBack"/>
      <w:bookmarkEnd w:id="0"/>
      <w:r w:rsidR="007303AD">
        <w:rPr>
          <w:rFonts w:asciiTheme="majorHAnsi" w:hAnsiTheme="majorHAnsi" w:cs="Arial"/>
        </w:rPr>
        <w:t>drawing from classes.)</w:t>
      </w:r>
    </w:p>
    <w:sectPr w:rsidR="007303AD" w:rsidRPr="007303AD" w:rsidSect="007303AD">
      <w:pgSz w:w="12240" w:h="15840"/>
      <w:pgMar w:top="864" w:right="720" w:bottom="749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cana BT">
    <w:altName w:val="Times New Roman"/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ECC"/>
    <w:multiLevelType w:val="hybridMultilevel"/>
    <w:tmpl w:val="3B5EDAE4"/>
    <w:lvl w:ilvl="0" w:tplc="636234B2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A12DA"/>
    <w:multiLevelType w:val="hybridMultilevel"/>
    <w:tmpl w:val="2AA4243C"/>
    <w:lvl w:ilvl="0" w:tplc="636234B2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97024"/>
    <w:multiLevelType w:val="hybridMultilevel"/>
    <w:tmpl w:val="EF9231FE"/>
    <w:lvl w:ilvl="0" w:tplc="636234B2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71AFA"/>
    <w:multiLevelType w:val="hybridMultilevel"/>
    <w:tmpl w:val="AD3448FA"/>
    <w:lvl w:ilvl="0" w:tplc="636234B2">
      <w:start w:val="1"/>
      <w:numFmt w:val="bullet"/>
      <w:lvlText w:val=""/>
      <w:lvlJc w:val="left"/>
      <w:pPr>
        <w:tabs>
          <w:tab w:val="num" w:pos="864"/>
        </w:tabs>
        <w:ind w:left="93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E04675"/>
    <w:multiLevelType w:val="hybridMultilevel"/>
    <w:tmpl w:val="5DDAD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6018C"/>
    <w:multiLevelType w:val="hybridMultilevel"/>
    <w:tmpl w:val="1CAE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82F"/>
    <w:rsid w:val="00055A37"/>
    <w:rsid w:val="000630BE"/>
    <w:rsid w:val="000937F0"/>
    <w:rsid w:val="000B1489"/>
    <w:rsid w:val="000D6020"/>
    <w:rsid w:val="0023335E"/>
    <w:rsid w:val="002775BE"/>
    <w:rsid w:val="002E7B83"/>
    <w:rsid w:val="00366652"/>
    <w:rsid w:val="0039023C"/>
    <w:rsid w:val="00397107"/>
    <w:rsid w:val="0041482F"/>
    <w:rsid w:val="0047253E"/>
    <w:rsid w:val="004D6392"/>
    <w:rsid w:val="005470AB"/>
    <w:rsid w:val="00571CE3"/>
    <w:rsid w:val="00665544"/>
    <w:rsid w:val="007303AD"/>
    <w:rsid w:val="007C0CA4"/>
    <w:rsid w:val="007F325D"/>
    <w:rsid w:val="00831464"/>
    <w:rsid w:val="0091551D"/>
    <w:rsid w:val="009E5F5A"/>
    <w:rsid w:val="00A04D84"/>
    <w:rsid w:val="00A50EDC"/>
    <w:rsid w:val="00A96017"/>
    <w:rsid w:val="00B55383"/>
    <w:rsid w:val="00C57392"/>
    <w:rsid w:val="00C83918"/>
    <w:rsid w:val="00CB2DC0"/>
    <w:rsid w:val="00D1050D"/>
    <w:rsid w:val="00D606E8"/>
    <w:rsid w:val="00DE515B"/>
    <w:rsid w:val="00E46C7C"/>
    <w:rsid w:val="00E57BC5"/>
    <w:rsid w:val="00E8688D"/>
    <w:rsid w:val="00E9205A"/>
    <w:rsid w:val="00E92D03"/>
    <w:rsid w:val="00E95341"/>
    <w:rsid w:val="00EA73A6"/>
    <w:rsid w:val="00EB6E2F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ecasal</dc:creator>
  <cp:keywords/>
  <dc:description/>
  <cp:lastModifiedBy>ecasal</cp:lastModifiedBy>
  <cp:revision>23</cp:revision>
  <dcterms:created xsi:type="dcterms:W3CDTF">2012-04-26T22:01:00Z</dcterms:created>
  <dcterms:modified xsi:type="dcterms:W3CDTF">2012-05-02T18:52:00Z</dcterms:modified>
</cp:coreProperties>
</file>